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E3" w:rsidRPr="007F787C" w:rsidRDefault="003C25E3" w:rsidP="007F78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7F787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Что должен знать потребитель о детских удерживающих устройствах (памятка)</w:t>
      </w:r>
    </w:p>
    <w:p w:rsidR="003C25E3" w:rsidRPr="003C25E3" w:rsidRDefault="003C25E3" w:rsidP="0080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638300"/>
            <wp:effectExtent l="19050" t="0" r="0" b="0"/>
            <wp:wrapSquare wrapText="bothSides"/>
            <wp:docPr id="2" name="Рисунок 2" descr="http://www.coloringville.com/images/children-coloring/children-colorin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ngville.com/images/children-coloring/children-coloring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Перевозка детей до 12-летнего возраста в транспортных средствах обязательно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безопасности. </w:t>
      </w:r>
    </w:p>
    <w:p w:rsidR="003C25E3" w:rsidRPr="003C25E3" w:rsidRDefault="003C25E3" w:rsidP="00800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сделать правильный выбор при покупке детского удерживающего устройства, необходимо помнить, что Законом Российской Федерации «О защите прав потребителей» определено, что изготовитель (продавец) обязан своевременно предоставлять потребителю необходимую и достоверную информацию о товаре, обеспечивающую возможность его правильного выбора. Информация о товаре в наглядной и доступной форме доводится до сведения потребителей при заключении договора купли-продажи. Детские удерживающие устройства подлежат обязательной сертификации.   </w:t>
      </w:r>
    </w:p>
    <w:p w:rsidR="003C25E3" w:rsidRPr="003C25E3" w:rsidRDefault="003C25E3" w:rsidP="00800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>Указанным законом также закреплено право потребителя на безопасность товара при обычных условиях его использования, хранения, транспортировки и утилизации в течение установленного срока службы (эксплуатации). При этом</w:t>
      </w:r>
      <w:proofErr w:type="gramStart"/>
      <w:r w:rsidRPr="003C25E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в законе определено, что если для безопасности использования товара необходимо соблюдать специальные правила, изготовить обязан указать эти правила в сопроводительной документации на товаре, этикетке, маркировкой или иным способом, а продавец обязан довести эти правила до сведения потребителя. </w:t>
      </w:r>
    </w:p>
    <w:p w:rsidR="003C25E3" w:rsidRPr="003C25E3" w:rsidRDefault="003C25E3" w:rsidP="00800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>Требования по безопасности к удерживающим устройствам для детей установлены техническим регламентом Таможенного союза «О безопасности колесных транспортных средств» (</w:t>
      </w:r>
      <w:proofErr w:type="gramStart"/>
      <w:r w:rsidRPr="003C25E3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ТС 018/2011), утвержденных Решением Комиссии Таможенного союза от 09.12.2011 № 877. Согласно </w:t>
      </w:r>
      <w:proofErr w:type="gramStart"/>
      <w:r w:rsidRPr="003C25E3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ТС 018/2011 удерживающие устройства для детей отнесены к компонентам транспортных средств и на этом основании входят в перечень объектов технического регулирования. </w:t>
      </w:r>
    </w:p>
    <w:p w:rsidR="003C25E3" w:rsidRPr="003C25E3" w:rsidRDefault="003C25E3" w:rsidP="00800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На основе Правил Европейской экономической комиссии Организации Объединенных Наций № 44 в Российской Федерации утвержден и введен в действие Приказом </w:t>
      </w: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от 20 декабря 2005 г. № 318-ст «ГОСТ </w:t>
      </w:r>
      <w:proofErr w:type="gramStart"/>
      <w:r w:rsidRPr="003C25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41.44-2005. Национальный стандарт Российской Федерации. Единообразные предписания, касающиеся удерживающих устройств для детей, находящихся в механических транспортных средствах», </w:t>
      </w:r>
      <w:proofErr w:type="gramStart"/>
      <w:r w:rsidRPr="003C25E3">
        <w:rPr>
          <w:rFonts w:ascii="Times New Roman" w:eastAsia="Times New Roman" w:hAnsi="Times New Roman" w:cs="Times New Roman"/>
          <w:sz w:val="24"/>
          <w:szCs w:val="24"/>
        </w:rPr>
        <w:t>устанавливающий</w:t>
      </w:r>
      <w:proofErr w:type="gram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безопасности детских удерживающих устройств. </w:t>
      </w:r>
    </w:p>
    <w:p w:rsidR="003C25E3" w:rsidRPr="003C25E3" w:rsidRDefault="003C25E3" w:rsidP="00800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6450" cy="1076325"/>
            <wp:effectExtent l="19050" t="0" r="0" b="0"/>
            <wp:wrapSquare wrapText="bothSides"/>
            <wp:docPr id="3" name="Рисунок 3" descr="http://04.rospotrebnadzor.ru/images/stories/articles/2017-02-22_baby_chairs/cha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4.rospotrebnadzor.ru/images/stories/articles/2017-02-22_baby_chairs/chai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В указанном стандарте определено, что детская удерживающая система (удерживающее устройство) 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противоударного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экрана), которое может быть прикреплено к внутренней части кузова автотранспортного средства.</w:t>
      </w:r>
      <w:proofErr w:type="gram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Устройство должно быть сконструировано таким образом, чтобы в случае </w:t>
      </w:r>
      <w:r w:rsidRPr="003C25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 </w:t>
      </w:r>
    </w:p>
    <w:p w:rsidR="003C25E3" w:rsidRPr="003C25E3" w:rsidRDefault="003C25E3" w:rsidP="003C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Детские удерживающие устройства подразделяют на пять весовых групп: </w:t>
      </w:r>
    </w:p>
    <w:p w:rsidR="003C25E3" w:rsidRPr="003C25E3" w:rsidRDefault="003C25E3" w:rsidP="003C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>группа 0 (</w:t>
      </w: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0) - для детей массой менее 10 кг; </w:t>
      </w:r>
    </w:p>
    <w:p w:rsidR="003C25E3" w:rsidRPr="003C25E3" w:rsidRDefault="003C25E3" w:rsidP="003C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>группа 0+ (</w:t>
      </w: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0+) - для детей массой менее 13 кг; </w:t>
      </w:r>
    </w:p>
    <w:p w:rsidR="003C25E3" w:rsidRPr="003C25E3" w:rsidRDefault="003C25E3" w:rsidP="003C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>группа I (</w:t>
      </w: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I) - для детей массой 9-18 кг; </w:t>
      </w:r>
    </w:p>
    <w:p w:rsidR="003C25E3" w:rsidRPr="003C25E3" w:rsidRDefault="003C25E3" w:rsidP="003C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>группа II (</w:t>
      </w: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II) - для детей массой 15-25 кг; </w:t>
      </w:r>
    </w:p>
    <w:p w:rsidR="003C25E3" w:rsidRPr="003C25E3" w:rsidRDefault="003C25E3" w:rsidP="003C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>группа III (</w:t>
      </w: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III) - для детей массой 22-36 кг.</w:t>
      </w:r>
    </w:p>
    <w:p w:rsidR="003C25E3" w:rsidRPr="003C25E3" w:rsidRDefault="003C25E3" w:rsidP="003C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Детские удерживающие устройства могут быть двух конструкций: </w:t>
      </w:r>
    </w:p>
    <w:p w:rsidR="003C25E3" w:rsidRPr="003C25E3" w:rsidRDefault="003C25E3" w:rsidP="00800E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>цельной (</w:t>
      </w: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integral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), включающей в себя комплект лямок или гибких элементов с пряжкой, устройство регулирования, крепления и, в некоторых случаях, дополнительное сиденье и/или </w:t>
      </w: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противоударный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экран, который может быть прикреплен с помощью собственной цельной лямки или лямок; </w:t>
      </w:r>
    </w:p>
    <w:p w:rsidR="003C25E3" w:rsidRPr="003C25E3" w:rsidRDefault="003C25E3" w:rsidP="00800E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нецельной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non-integral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), включающей в себя частичное удерживающее устройство, которое при использовании в сочетании с ремнем безопасности для взрослых, проходящим вокруг туловища ребенка, или удерживающим устройством, в котором находится ребенок, образует детское удерживающее устройство в комплекте. </w:t>
      </w:r>
    </w:p>
    <w:p w:rsidR="003C25E3" w:rsidRPr="003C25E3" w:rsidRDefault="003C25E3" w:rsidP="003C2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Детские удерживающие устройства подразделяют на четыре категории: </w:t>
      </w:r>
    </w:p>
    <w:p w:rsidR="003C25E3" w:rsidRPr="003C25E3" w:rsidRDefault="003C25E3" w:rsidP="003C2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универсальная, </w:t>
      </w:r>
    </w:p>
    <w:p w:rsidR="003C25E3" w:rsidRPr="003C25E3" w:rsidRDefault="003C25E3" w:rsidP="003C2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ограниченная, </w:t>
      </w:r>
    </w:p>
    <w:p w:rsidR="003C25E3" w:rsidRPr="003C25E3" w:rsidRDefault="003C25E3" w:rsidP="003C2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полууниверсальная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C25E3" w:rsidRPr="003C25E3" w:rsidRDefault="003C25E3" w:rsidP="003C2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>особая.</w:t>
      </w:r>
    </w:p>
    <w:p w:rsidR="003C25E3" w:rsidRPr="003C25E3" w:rsidRDefault="003C25E3" w:rsidP="00800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При выборе детских удерживающих устройств необходимо также обратить внимание, что к каждому устройству должны быть приложены инструкции по установке и эксплуатации, на русском языке. </w:t>
      </w:r>
    </w:p>
    <w:p w:rsidR="003C25E3" w:rsidRPr="003C25E3" w:rsidRDefault="003C25E3" w:rsidP="00800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 </w:t>
      </w:r>
    </w:p>
    <w:p w:rsidR="003C25E3" w:rsidRPr="003C25E3" w:rsidRDefault="003C25E3" w:rsidP="003C2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Уважаемые потребители! </w:t>
      </w:r>
    </w:p>
    <w:p w:rsidR="007F787C" w:rsidRDefault="003C25E3" w:rsidP="00863E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Если Вам стало известно о фактах нарушений прав потребителей при реализации детских удерживающих устройств, сообщите в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Территориальный отдел Управления</w:t>
      </w: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5E3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Иркутской области </w:t>
      </w:r>
      <w:r w:rsidR="00BD6AA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BD6AAC">
        <w:rPr>
          <w:rFonts w:ascii="Times New Roman" w:eastAsia="Times New Roman" w:hAnsi="Times New Roman" w:cs="Times New Roman"/>
          <w:sz w:val="24"/>
          <w:szCs w:val="24"/>
        </w:rPr>
        <w:t>Эхирит-Булагатском</w:t>
      </w:r>
      <w:proofErr w:type="spellEnd"/>
      <w:r w:rsidR="00BD6A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6AAC">
        <w:rPr>
          <w:rFonts w:ascii="Times New Roman" w:eastAsia="Times New Roman" w:hAnsi="Times New Roman" w:cs="Times New Roman"/>
          <w:sz w:val="24"/>
          <w:szCs w:val="24"/>
        </w:rPr>
        <w:t>Баяндаевском</w:t>
      </w:r>
      <w:proofErr w:type="spellEnd"/>
      <w:r w:rsidR="00BD6A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6AAC">
        <w:rPr>
          <w:rFonts w:ascii="Times New Roman" w:eastAsia="Times New Roman" w:hAnsi="Times New Roman" w:cs="Times New Roman"/>
          <w:sz w:val="24"/>
          <w:szCs w:val="24"/>
        </w:rPr>
        <w:t>Осинском</w:t>
      </w:r>
      <w:proofErr w:type="spellEnd"/>
      <w:r w:rsidR="00BD6A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6AAC">
        <w:rPr>
          <w:rFonts w:ascii="Times New Roman" w:eastAsia="Times New Roman" w:hAnsi="Times New Roman" w:cs="Times New Roman"/>
          <w:sz w:val="24"/>
          <w:szCs w:val="24"/>
        </w:rPr>
        <w:t>Боханском</w:t>
      </w:r>
      <w:proofErr w:type="spellEnd"/>
      <w:r w:rsidR="00BD6A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6AAC">
        <w:rPr>
          <w:rFonts w:ascii="Times New Roman" w:eastAsia="Times New Roman" w:hAnsi="Times New Roman" w:cs="Times New Roman"/>
          <w:sz w:val="24"/>
          <w:szCs w:val="24"/>
        </w:rPr>
        <w:t>Усть-Удинском</w:t>
      </w:r>
      <w:proofErr w:type="spellEnd"/>
      <w:r w:rsidR="00BD6A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6AAC">
        <w:rPr>
          <w:rFonts w:ascii="Times New Roman" w:eastAsia="Times New Roman" w:hAnsi="Times New Roman" w:cs="Times New Roman"/>
          <w:sz w:val="24"/>
          <w:szCs w:val="24"/>
        </w:rPr>
        <w:t>Качугском</w:t>
      </w:r>
      <w:proofErr w:type="spellEnd"/>
      <w:r w:rsidR="00BD6A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D6AAC">
        <w:rPr>
          <w:rFonts w:ascii="Times New Roman" w:eastAsia="Times New Roman" w:hAnsi="Times New Roman" w:cs="Times New Roman"/>
          <w:sz w:val="24"/>
          <w:szCs w:val="24"/>
        </w:rPr>
        <w:t>Жигаловском</w:t>
      </w:r>
      <w:proofErr w:type="spellEnd"/>
      <w:r w:rsidR="00BD6AAC">
        <w:rPr>
          <w:rFonts w:ascii="Times New Roman" w:eastAsia="Times New Roman" w:hAnsi="Times New Roman" w:cs="Times New Roman"/>
          <w:sz w:val="24"/>
          <w:szCs w:val="24"/>
        </w:rPr>
        <w:t xml:space="preserve"> районах</w:t>
      </w: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BD6AAC">
        <w:rPr>
          <w:rFonts w:ascii="Times New Roman" w:eastAsia="Times New Roman" w:hAnsi="Times New Roman" w:cs="Times New Roman"/>
          <w:sz w:val="24"/>
          <w:szCs w:val="24"/>
        </w:rPr>
        <w:t>669001</w:t>
      </w: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6AAC">
        <w:rPr>
          <w:rFonts w:ascii="Times New Roman" w:eastAsia="Times New Roman" w:hAnsi="Times New Roman" w:cs="Times New Roman"/>
          <w:sz w:val="24"/>
          <w:szCs w:val="24"/>
        </w:rPr>
        <w:t>п. Усть-Ордынский</w:t>
      </w:r>
      <w:r w:rsidRPr="003C25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6AAC">
        <w:rPr>
          <w:rFonts w:ascii="Times New Roman" w:eastAsia="Times New Roman" w:hAnsi="Times New Roman" w:cs="Times New Roman"/>
          <w:sz w:val="24"/>
          <w:szCs w:val="24"/>
        </w:rPr>
        <w:t>пер. 1-й Октябрьский, д.12; 669120, с. Баяндай, ул. Гагарина,</w:t>
      </w:r>
      <w:r w:rsidR="00FC0A2B">
        <w:rPr>
          <w:rFonts w:ascii="Times New Roman" w:eastAsia="Times New Roman" w:hAnsi="Times New Roman" w:cs="Times New Roman"/>
          <w:sz w:val="24"/>
          <w:szCs w:val="24"/>
        </w:rPr>
        <w:t xml:space="preserve"> 45;</w:t>
      </w:r>
      <w:r w:rsidR="00BD6AAC">
        <w:rPr>
          <w:rFonts w:ascii="Times New Roman" w:eastAsia="Times New Roman" w:hAnsi="Times New Roman" w:cs="Times New Roman"/>
          <w:sz w:val="24"/>
          <w:szCs w:val="24"/>
        </w:rPr>
        <w:t xml:space="preserve"> 669310, п. Бохан, ул. Колхозная, 7;</w:t>
      </w:r>
      <w:proofErr w:type="gramEnd"/>
      <w:r w:rsidR="00BD6AAC">
        <w:rPr>
          <w:rFonts w:ascii="Times New Roman" w:eastAsia="Times New Roman" w:hAnsi="Times New Roman" w:cs="Times New Roman"/>
          <w:sz w:val="24"/>
          <w:szCs w:val="24"/>
        </w:rPr>
        <w:t xml:space="preserve"> 669200, </w:t>
      </w:r>
      <w:proofErr w:type="gramStart"/>
      <w:r w:rsidR="00BD6A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D6A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D6AAC">
        <w:rPr>
          <w:rFonts w:ascii="Times New Roman" w:eastAsia="Times New Roman" w:hAnsi="Times New Roman" w:cs="Times New Roman"/>
          <w:sz w:val="24"/>
          <w:szCs w:val="24"/>
        </w:rPr>
        <w:t>Оса</w:t>
      </w:r>
      <w:proofErr w:type="gramEnd"/>
      <w:r w:rsidR="00BD6AAC">
        <w:rPr>
          <w:rFonts w:ascii="Times New Roman" w:eastAsia="Times New Roman" w:hAnsi="Times New Roman" w:cs="Times New Roman"/>
          <w:sz w:val="24"/>
          <w:szCs w:val="24"/>
        </w:rPr>
        <w:t>, ул. Комарова, 1</w:t>
      </w:r>
      <w:r w:rsidR="007F78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6A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C25E3" w:rsidRPr="00863EC5" w:rsidRDefault="007F787C" w:rsidP="007F787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8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="00863EC5">
        <w:rPr>
          <w:rFonts w:ascii="Times New Roman" w:eastAsia="Times New Roman" w:hAnsi="Times New Roman" w:cs="Times New Roman"/>
        </w:rPr>
        <w:t xml:space="preserve"> </w:t>
      </w:r>
      <w:r w:rsidRPr="00863EC5">
        <w:rPr>
          <w:rFonts w:ascii="Times New Roman" w:hAnsi="Times New Roman" w:cs="Times New Roman"/>
          <w:sz w:val="24"/>
          <w:szCs w:val="24"/>
        </w:rPr>
        <w:t xml:space="preserve">Территориальный отдел </w:t>
      </w:r>
      <w:proofErr w:type="spellStart"/>
      <w:r w:rsidRPr="00863EC5">
        <w:rPr>
          <w:rFonts w:ascii="Times New Roman" w:hAnsi="Times New Roman" w:cs="Times New Roman"/>
          <w:sz w:val="24"/>
          <w:szCs w:val="24"/>
        </w:rPr>
        <w:t>Роспотребнадзор</w:t>
      </w:r>
      <w:r w:rsidR="008404B7" w:rsidRPr="00863EC5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3C25E3" w:rsidRPr="00863EC5" w:rsidSect="0030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3E6"/>
    <w:multiLevelType w:val="multilevel"/>
    <w:tmpl w:val="0868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C5CD7"/>
    <w:multiLevelType w:val="multilevel"/>
    <w:tmpl w:val="E34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D7704"/>
    <w:multiLevelType w:val="multilevel"/>
    <w:tmpl w:val="E966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D3F06"/>
    <w:multiLevelType w:val="multilevel"/>
    <w:tmpl w:val="FFB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01EFC"/>
    <w:multiLevelType w:val="multilevel"/>
    <w:tmpl w:val="E1EA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25E3"/>
    <w:rsid w:val="00157735"/>
    <w:rsid w:val="00305196"/>
    <w:rsid w:val="003C25E3"/>
    <w:rsid w:val="007F787C"/>
    <w:rsid w:val="00800E96"/>
    <w:rsid w:val="008404B7"/>
    <w:rsid w:val="00863EC5"/>
    <w:rsid w:val="00BD6AAC"/>
    <w:rsid w:val="00FC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6"/>
  </w:style>
  <w:style w:type="paragraph" w:styleId="1">
    <w:name w:val="heading 1"/>
    <w:basedOn w:val="a"/>
    <w:link w:val="10"/>
    <w:uiPriority w:val="9"/>
    <w:qFormat/>
    <w:rsid w:val="003C2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5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2018-03-23T07:17:00Z</dcterms:created>
  <dcterms:modified xsi:type="dcterms:W3CDTF">2018-04-10T07:34:00Z</dcterms:modified>
</cp:coreProperties>
</file>