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AF" w:rsidRDefault="006C40AF" w:rsidP="006C40AF">
      <w:pPr>
        <w:tabs>
          <w:tab w:val="left" w:pos="1140"/>
        </w:tabs>
        <w:jc w:val="center"/>
        <w:rPr>
          <w:b/>
          <w:u w:val="single"/>
          <w:lang w:val="en-US"/>
        </w:rPr>
      </w:pPr>
    </w:p>
    <w:p w:rsidR="00126FB9" w:rsidRDefault="00126FB9" w:rsidP="00126FB9">
      <w:pPr>
        <w:tabs>
          <w:tab w:val="left" w:pos="1140"/>
        </w:tabs>
        <w:jc w:val="center"/>
      </w:pPr>
      <w:r>
        <w:t>РОССИЙСКАЯ  ФЕДЕРАЦИЯ</w:t>
      </w:r>
      <w:r>
        <w:br/>
        <w:t xml:space="preserve">  ИРКУТСКАЯ  ОБЛАСТЬ</w:t>
      </w:r>
    </w:p>
    <w:p w:rsidR="00126FB9" w:rsidRDefault="00126FB9" w:rsidP="00126FB9">
      <w:pPr>
        <w:tabs>
          <w:tab w:val="left" w:pos="1140"/>
        </w:tabs>
        <w:jc w:val="center"/>
      </w:pPr>
      <w:r>
        <w:t>БАЯНДАЕВСКИЙ  РАЙОН</w:t>
      </w:r>
      <w:r>
        <w:br/>
        <w:t xml:space="preserve">            ДУМА МУНИЦИПАЛЬНОГО ОБРАЗОВАНИЯ  «ОЛЬЗОНЫ»</w:t>
      </w:r>
    </w:p>
    <w:p w:rsidR="00126FB9" w:rsidRDefault="00126FB9" w:rsidP="00126FB9">
      <w:pPr>
        <w:tabs>
          <w:tab w:val="left" w:pos="1140"/>
        </w:tabs>
      </w:pPr>
      <w:r>
        <w:t xml:space="preserve">                                                                                  РЕШЕНИЕ</w:t>
      </w:r>
      <w:r>
        <w:br/>
        <w:t>от 25.10.2012 г.                                                           № 47/1                                               с. Ользоны</w:t>
      </w:r>
    </w:p>
    <w:p w:rsidR="00126FB9" w:rsidRDefault="00126FB9" w:rsidP="00126FB9">
      <w:pPr>
        <w:tabs>
          <w:tab w:val="left" w:pos="1140"/>
        </w:tabs>
        <w:jc w:val="center"/>
        <w:rPr>
          <w:b/>
          <w:u w:val="single"/>
        </w:rPr>
      </w:pPr>
    </w:p>
    <w:p w:rsidR="00126FB9" w:rsidRDefault="00126FB9" w:rsidP="00126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незаконным решение Думы от 11.07.2011г. № 29  в Положении  о гарантиях деятельности выборного должностного лица МО «Ользоны»  пункт 2.6.1.</w:t>
      </w: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решила:</w:t>
      </w:r>
    </w:p>
    <w:p w:rsidR="00126FB9" w:rsidRDefault="00126FB9" w:rsidP="00126F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незаконным  решение Думы от 11.07.2011г. № 29   в Положении о гарантиях деятельности выборного должностного лица МО «Ользоны» пункт 2.6.1. отменить.</w:t>
      </w: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МО «Ользоны»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spacing w:after="0"/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pStyle w:val="a3"/>
        <w:rPr>
          <w:sz w:val="24"/>
          <w:szCs w:val="24"/>
        </w:rPr>
      </w:pPr>
    </w:p>
    <w:p w:rsidR="00126FB9" w:rsidRDefault="00126FB9" w:rsidP="00126FB9">
      <w:pPr>
        <w:pStyle w:val="a3"/>
        <w:tabs>
          <w:tab w:val="left" w:pos="1140"/>
        </w:tabs>
        <w:spacing w:after="0" w:line="240" w:lineRule="auto"/>
      </w:pPr>
      <w: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Положение</w:t>
      </w:r>
    </w:p>
    <w:p w:rsidR="00126FB9" w:rsidRDefault="00126FB9" w:rsidP="00126FB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 гарантиях деятельности выборного должностного лица МО «Ользоны»</w:t>
      </w:r>
    </w:p>
    <w:p w:rsidR="00126FB9" w:rsidRDefault="00126FB9" w:rsidP="00126FB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Раздел 1.</w:t>
      </w:r>
    </w:p>
    <w:p w:rsidR="00126FB9" w:rsidRDefault="00126FB9" w:rsidP="00126FB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Общие положения</w:t>
      </w:r>
    </w:p>
    <w:p w:rsidR="00126FB9" w:rsidRDefault="00126FB9" w:rsidP="00126F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Законом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«Об установлении нормативов формирования расходов 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из трех последних отчетных финансовых лет превышала 10 процентов собственных доходов местного бюджета», Уставом МО «Ользоны», определяет правовые, социальные, материальные, организационные гарантии осуществления полномочий </w:t>
      </w:r>
      <w:r>
        <w:rPr>
          <w:rFonts w:ascii="Times New Roman" w:hAnsi="Times New Roman"/>
          <w:sz w:val="24"/>
          <w:szCs w:val="24"/>
        </w:rPr>
        <w:lastRenderedPageBreak/>
        <w:t>выборных лиц местного самоуправления – главы муниципального образования, осуществляющего свои полномочия на постоянной основе (далее по тексту – выборное лицо местного самоуправления).</w:t>
      </w:r>
    </w:p>
    <w:p w:rsidR="00126FB9" w:rsidRDefault="00126FB9" w:rsidP="00126FB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Раздел 2.</w:t>
      </w:r>
    </w:p>
    <w:p w:rsidR="00126FB9" w:rsidRDefault="00126FB9" w:rsidP="00126FB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Обеспечение деятельности выборного лица местного самоуправления</w:t>
      </w:r>
    </w:p>
    <w:p w:rsidR="00126FB9" w:rsidRDefault="00126FB9" w:rsidP="00126F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Выборному лицу местного самоуправления муниципального образования «Ользоны» гарантируются условия для беспрепятственного и эффективного осуществления полномочий, защита прав, чести и достоинства.</w:t>
      </w:r>
    </w:p>
    <w:p w:rsidR="00126FB9" w:rsidRDefault="00126FB9" w:rsidP="00126F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Защита выборного должностного лица и членов их семьи от насилия, угроз, других неправомерных действий, в связи с исполнением ими полномочий осуществляется в соответствии с федеральным и областным законодательством.</w:t>
      </w:r>
    </w:p>
    <w:p w:rsidR="00126FB9" w:rsidRDefault="00126FB9" w:rsidP="00126F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Выборному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126FB9" w:rsidRDefault="00126FB9" w:rsidP="00126F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Выборному лицу местного самоуправления гарантируется: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обеспечением рабочим помещением с необходимым для исполнения полномочий техническим оснащением, транспортом, телефонной  и иными видами связи, необходимой информацией;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труда;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ежегодный оплачиваемый отпуск и единовременная выплата к отпуску;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материальная помощь;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пенсионное обеспечение;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медицинское, государственное  и социальное страхование;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расходов на служебные командировки;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квалификации;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компенсационные выплаты при прекращении полномочий.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Выборное  лицо  местного самоуправления имеет право на иные гарантии, определенные федеральным, областным законодательством и Уставом муниципального образования «Ользоны»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Расходы на обеспечение деятельности выборного лица местного самоуправления осуществляются за счет средств бюджета МО «Ользоны»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 поселения), в соответствии с бюджетным законодательством.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Раздел 3.</w:t>
      </w:r>
    </w:p>
    <w:p w:rsidR="00126FB9" w:rsidRDefault="00126FB9" w:rsidP="00126F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Обеспечение выборного лица местного самоуправления рабочим помещением, служебным транспортом, телефонной и иными видами связи, информацией, необходимой для исполнения полномочий.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осуществления должностных полномочий, выборное лицо местного самоуправления обеспечивается отдельным помещением в здании администрации оборудованным мебелью, телефонной  и иными видами связи, а также необходимыми средствами организационной техники.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Выборное лицо местного самоуправления обеспечивается персональным транспортным средством.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Раздел 4. 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Оплата труда.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1.Выборному лицу местного самоуправления за счет средств районного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 с выплатой районного коэффициента и процентных надбавок, определенных в соответствии с законодательством.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 оформлении, фонда оплаты труда выборных лиц местного самоуправления предусматривается: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2.1.Денежное вознаграждение выборного лица местного самоуправления, определяющееся суммированием: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должностного оклада;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2.1.2.максимальной надбавки за выслугу лет в размере – 30% от должностного оклада;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единовременной выплаты к отпуску в расчете на месяц.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Единовременная выплата к отпуску определяется суммированием должностного оклада, максимального размера надбавки за выслугу лет, надбавки за работу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ведениями, составляющими государственную тайну, устанавливаемой в соответствии с федеральным законом.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2.3.Выборному лицу местного самоуправления устанавливается ежемесячное денежное поощрение в размере 6,7 денежных вознаграждений, а также ежеквартальное денежное поощрение в размере месячного денежного вознаграждения.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2.4.К денежному вознаграждению и поощрениям выплачиваются районный коэффициент и процентная надбавка за работу в южных районах Иркутской области, в соответствии с действующим законодательством.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Выборному лицу местного самоуправления один раз в календарный год предоставляется материальная помощь в размере одного денежного вознаграждения.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2.6.1. В случае если выборным лицом местного самоуправления не реализовано право на получение материальной помощи, она выплачивается в четвертом квартале текущего календарного года в размере одного денежного вознаграждения.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 на получение материальной помощи и единовременной выплаты к отпуску возникает у выборного лица местного самоуправления со дня замещения им должности.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Увеличение (индексация) денежного вознаграждения и денежного поощрения выборных лиц местного самоуправления, производится в соответствии с законодательством.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Раздел 5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Отпуск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1.Выборному лицу местного самоуправления предоставляется ежегодный оплачиваемый отпуск.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основного ежегодного оплачиваемого отпуска составляет 30 календарных дней.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2.Выборному лицу местного самоуправления предоставляется дополнительный оплачиваемый отпуск: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2.1.за выслугу лет – 15 календарных дней;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2.2.за ненормированный рабочий день – 5 календарных дней;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 работу в южных районах Иркутской области в соответствии с действующим законодательством -8 календарных дней.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из одной частей отпуска должна быть не менее 14 календарных дней.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Выборным лицам местного самоуправления может быть предоставлен отпуск без сохранения заработной платы, в соответствии с действующим законодательством.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Выборным лицам местного самоуправления один раз в календарный год к ежегодному отпуску выплачивается единовременная выплата к отпуску в размере месячного должностного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Раздел 6.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Пенсионное обеспечение.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муниципальной службы не </w:t>
      </w:r>
      <w:proofErr w:type="gramStart"/>
      <w:r>
        <w:rPr>
          <w:rFonts w:ascii="Times New Roman" w:hAnsi="Times New Roman"/>
          <w:sz w:val="24"/>
          <w:szCs w:val="24"/>
        </w:rPr>
        <w:t>менее пятнадцати лет, устанавливается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ежемесячная доплата к назначенной трудовой пенсии по старости (инвалидности), в соответствии с действующим законодательством.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В стаж муниципальной службы, для назначения ежемесячной доплаты, указанной в части первой настоящего раздела, включаются периоды службы (работы), установленное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  <w:proofErr w:type="gramEnd"/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Право на получение ежемесячной доплаты к трудовой пенсии по старости, трудовой пенсии по инвалидности, пенсии, </w:t>
      </w:r>
      <w:proofErr w:type="gramStart"/>
      <w:r>
        <w:rPr>
          <w:rFonts w:ascii="Times New Roman" w:hAnsi="Times New Roman"/>
          <w:sz w:val="24"/>
          <w:szCs w:val="24"/>
        </w:rPr>
        <w:t>назначенной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а соответствии с Законом РФ «О занятости населения в Российской Федерации», не возникает улица,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Федерации»,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назначение в соответствии с законом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муниципальной должности, должности муниципальной службы;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смерть лица, получавшего указанную доплату, признание его безвестно отсутствующим объявление умершим в порядке, установленном федеральными законами.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 прекращении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назначения и выплате ежемесячной доплаты к трудовой пенсии по старости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трудовой пенсии по инвалидности, пенсии, назначенной в соответствии с Законом Российской Федерации «О занятости населения в Российской Федерации определяется в соответствии с положением «О порядке назначения, перерасчета индексации и выплаты пенсии за выслугу лет гражданам, замещавшим должности муниципальной службы в Иркутском районном муниципальном образовании.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связанные с выплатой ежемесячной доплаты к трудовой пенсии выборного лица местного самоуправления, производятся за счет средств районного бюджета.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Раздел 7.</w:t>
      </w:r>
    </w:p>
    <w:p w:rsidR="00126FB9" w:rsidRDefault="00126FB9" w:rsidP="00126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Медицинское и государственное социальное страхование</w:t>
      </w:r>
    </w:p>
    <w:p w:rsidR="00126FB9" w:rsidRDefault="00126FB9" w:rsidP="00126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Выборное лицо местного   самоуправления подлежит обязательному медицинскому  и государственному социальному страхованию в порядке, установленном федеральным областным законодательством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126FB9" w:rsidRDefault="00126FB9" w:rsidP="00126FB9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Раздел  8.</w:t>
      </w:r>
    </w:p>
    <w:p w:rsidR="00126FB9" w:rsidRDefault="00126FB9" w:rsidP="00126F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Возмещение командировочных расходов</w:t>
      </w:r>
    </w:p>
    <w:p w:rsidR="00126FB9" w:rsidRDefault="00126FB9" w:rsidP="00126FB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случаях служебной необходимости, выборное лицо местного самоуправления направляется в служебные командировки.</w:t>
      </w:r>
    </w:p>
    <w:p w:rsidR="00126FB9" w:rsidRDefault="00126FB9" w:rsidP="00126FB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Выборному лицу местного самоуправления возмещаются следующие расходы, связанные со служебной командировкой:</w:t>
      </w:r>
    </w:p>
    <w:p w:rsidR="00126FB9" w:rsidRDefault="00126FB9" w:rsidP="00126F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проезд к месту командировки и обратно по фактическому расходу;</w:t>
      </w:r>
    </w:p>
    <w:p w:rsidR="00126FB9" w:rsidRDefault="00126FB9" w:rsidP="00126F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бронирование и проживание в гостинице, а в случае отсутствия в населенном пункте гостиницы, за наем  жилья по фактическому расходу;</w:t>
      </w:r>
    </w:p>
    <w:p w:rsidR="00126FB9" w:rsidRDefault="00126FB9" w:rsidP="00126F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суточные по следующим нормам:</w:t>
      </w:r>
    </w:p>
    <w:p w:rsidR="00126FB9" w:rsidRDefault="00126FB9" w:rsidP="00126F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пользование телефонной связью по служебной необходимости.</w:t>
      </w:r>
    </w:p>
    <w:p w:rsidR="00126FB9" w:rsidRDefault="00126FB9" w:rsidP="00126F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:rsidR="00126FB9" w:rsidRDefault="00126FB9" w:rsidP="00126FB9">
      <w:pPr>
        <w:pStyle w:val="a3"/>
        <w:rPr>
          <w:sz w:val="24"/>
          <w:szCs w:val="24"/>
        </w:rPr>
      </w:pP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Раздел 9.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Повышение квалификации выборного лица местного самоуправления</w:t>
      </w:r>
    </w:p>
    <w:p w:rsidR="00126FB9" w:rsidRDefault="00126FB9" w:rsidP="00126FB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26FB9" w:rsidRDefault="00126FB9" w:rsidP="00126F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 выборного лица местного самоуправления производится в случае производственной необходимости, в форме краткосрочного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сроком до одного месяца) или долгосрочного ( сроком более одного месяца) обучения, за счет средств районного бюджета.</w:t>
      </w:r>
    </w:p>
    <w:p w:rsidR="00126FB9" w:rsidRDefault="00126FB9" w:rsidP="00126F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может проводиться как с отрывом ( очная форма обучения), так и без отрыва от выполнения должностных полномочи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 заочная форма обучения).</w:t>
      </w:r>
    </w:p>
    <w:p w:rsidR="00126FB9" w:rsidRDefault="00126FB9" w:rsidP="00126FB9">
      <w:pPr>
        <w:pStyle w:val="a3"/>
        <w:rPr>
          <w:sz w:val="24"/>
          <w:szCs w:val="24"/>
        </w:rPr>
      </w:pPr>
    </w:p>
    <w:p w:rsidR="00126FB9" w:rsidRDefault="00126FB9" w:rsidP="00126F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Раздел 10.</w:t>
      </w:r>
    </w:p>
    <w:p w:rsidR="00126FB9" w:rsidRDefault="00126FB9" w:rsidP="00126F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Компенсационные выплаты при прекращении полномочий</w:t>
      </w:r>
    </w:p>
    <w:p w:rsidR="00126FB9" w:rsidRDefault="00126FB9" w:rsidP="00126FB9">
      <w:pPr>
        <w:pStyle w:val="a3"/>
        <w:ind w:left="780"/>
        <w:rPr>
          <w:b/>
          <w:sz w:val="24"/>
          <w:szCs w:val="24"/>
        </w:rPr>
      </w:pPr>
    </w:p>
    <w:p w:rsidR="00126FB9" w:rsidRDefault="00126FB9" w:rsidP="00126FB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Лицу, прекратившему полномочия мэра, председателя Думы, выплачивается выходное пособие в размере его месячной оплаты труда в следующих случаях: </w:t>
      </w:r>
    </w:p>
    <w:p w:rsidR="00126FB9" w:rsidRDefault="00126FB9" w:rsidP="00126FB9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окончания срока полномочий и не избрания на новый срок полномочий;</w:t>
      </w:r>
    </w:p>
    <w:p w:rsidR="00126FB9" w:rsidRDefault="00126FB9" w:rsidP="00126FB9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отставки по собственному желанию, в том числе по состоянию здоровья, при осуществлении лицом полномочий выборного лица не менее  одного срока, на который оно было избрано:</w:t>
      </w:r>
    </w:p>
    <w:p w:rsidR="00126FB9" w:rsidRDefault="00126FB9" w:rsidP="00126FB9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преобразования муниципального образования, а также в случае упразднения муниципального образования</w:t>
      </w:r>
    </w:p>
    <w:p w:rsidR="00126FB9" w:rsidRDefault="00126FB9" w:rsidP="00126FB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выборному лицу местного самоуправления,  прекратившему свои полномочия  в </w:t>
      </w:r>
      <w:proofErr w:type="gramStart"/>
      <w:r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 xml:space="preserve"> предусмотренных в </w:t>
      </w:r>
      <w:r>
        <w:rPr>
          <w:sz w:val="24"/>
          <w:szCs w:val="24"/>
          <w:u w:val="single"/>
        </w:rPr>
        <w:t>части 1</w:t>
      </w:r>
      <w:r>
        <w:rPr>
          <w:sz w:val="24"/>
          <w:szCs w:val="24"/>
        </w:rPr>
        <w:t xml:space="preserve"> настоящего раздела. Производится ежемесячная  выплата в размере его месячной оплаты труда на день прекращения </w:t>
      </w:r>
      <w:r>
        <w:rPr>
          <w:sz w:val="24"/>
          <w:szCs w:val="24"/>
        </w:rPr>
        <w:lastRenderedPageBreak/>
        <w:t>полномочий до устройства на новое место работы, 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 более шести месяцев со дня прекращения полномочий. Если на новом месте работы, размер оплаты указанного лица ниже прежнего, то производится ежемесячная доплата</w:t>
      </w:r>
    </w:p>
    <w:p w:rsidR="00126FB9" w:rsidRDefault="00126FB9" w:rsidP="00126FB9">
      <w:pPr>
        <w:pStyle w:val="a3"/>
        <w:ind w:left="689"/>
        <w:rPr>
          <w:sz w:val="24"/>
          <w:szCs w:val="24"/>
        </w:rPr>
      </w:pPr>
      <w:r>
        <w:rPr>
          <w:sz w:val="24"/>
          <w:szCs w:val="24"/>
        </w:rPr>
        <w:t>до размера его месячной оплаты труда на день прекращения полномочий, но в размере не более шести месяцев со дня прекращения полномочий.</w:t>
      </w:r>
    </w:p>
    <w:p w:rsidR="00126FB9" w:rsidRDefault="00126FB9" w:rsidP="00126FB9">
      <w:pPr>
        <w:pStyle w:val="a3"/>
        <w:ind w:left="689"/>
        <w:rPr>
          <w:sz w:val="24"/>
          <w:szCs w:val="24"/>
        </w:rPr>
      </w:pPr>
      <w:r>
        <w:rPr>
          <w:sz w:val="24"/>
          <w:szCs w:val="24"/>
        </w:rPr>
        <w:t>Вышеуказанная ежемесячная выплата производится при ежемесячном представлении не позднее 25 числа текущего месяца документов из органов занятости населения подтверждающих статус безработного, или справки о заработной плате с нового места работы.</w:t>
      </w:r>
    </w:p>
    <w:p w:rsidR="00126FB9" w:rsidRDefault="00126FB9" w:rsidP="00126FB9">
      <w:pPr>
        <w:pStyle w:val="a3"/>
        <w:ind w:left="689"/>
        <w:rPr>
          <w:sz w:val="24"/>
          <w:szCs w:val="24"/>
        </w:rPr>
      </w:pPr>
      <w:r>
        <w:rPr>
          <w:sz w:val="24"/>
          <w:szCs w:val="24"/>
        </w:rPr>
        <w:t>Указанные доплаты осуществляются за счет средств районного бюджета.</w:t>
      </w:r>
    </w:p>
    <w:p w:rsidR="00126FB9" w:rsidRDefault="00126FB9" w:rsidP="00126FB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proofErr w:type="gramStart"/>
      <w:r>
        <w:rPr>
          <w:sz w:val="24"/>
          <w:szCs w:val="24"/>
        </w:rPr>
        <w:t>Гарантии</w:t>
      </w:r>
      <w:proofErr w:type="gramEnd"/>
      <w:r>
        <w:rPr>
          <w:sz w:val="24"/>
          <w:szCs w:val="24"/>
        </w:rPr>
        <w:t xml:space="preserve"> установленные в соответствии с частями 1,2 настоящего раздела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области, отзывом избирателями или вступлением в отношении его в законную силу обвинительного приговора суда, а также в случае принятия закона Иркутской области о роспуске представительного  органа муниципального образования по основаниям установленным федеральным законом «Об общих принципах организации местного самоуправления Российской Федерации».</w:t>
      </w:r>
    </w:p>
    <w:p w:rsidR="00126FB9" w:rsidRDefault="00126FB9" w:rsidP="00126FB9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Раздел 11.</w:t>
      </w:r>
    </w:p>
    <w:p w:rsidR="00126FB9" w:rsidRDefault="00126FB9" w:rsidP="00126FB9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Компенсационные выплаты в случае гибели, причинения увечья или повреждения здоровья выборного лица местного самоуправления.</w:t>
      </w:r>
    </w:p>
    <w:p w:rsidR="00126FB9" w:rsidRDefault="00126FB9" w:rsidP="00126FB9">
      <w:pPr>
        <w:pStyle w:val="a3"/>
        <w:ind w:left="0"/>
        <w:rPr>
          <w:sz w:val="24"/>
          <w:szCs w:val="24"/>
        </w:rPr>
      </w:pPr>
    </w:p>
    <w:p w:rsidR="00126FB9" w:rsidRDefault="00126FB9" w:rsidP="00126FB9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Компенсационные выплаты за счет средств местного бюджета выплачивается единовременно в случаях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1.1.гибели (смерти) выборного лица местного самоуправления в период работы или после освобождения от должности, если она наступила </w:t>
      </w:r>
      <w:proofErr w:type="gramStart"/>
      <w:r>
        <w:rPr>
          <w:sz w:val="24"/>
          <w:szCs w:val="24"/>
        </w:rPr>
        <w:t>в следствие</w:t>
      </w:r>
      <w:proofErr w:type="gramEnd"/>
      <w:r>
        <w:rPr>
          <w:sz w:val="24"/>
          <w:szCs w:val="24"/>
        </w:rPr>
        <w:t xml:space="preserve"> телесных повреждений или иного повреждения здоровья,  полученных в связи с исполнением должностных обязанностей – членам его семьи, в размере 6 –и месячной оплаты труда выборного лица местного самоуправления, установленный на день наступления указанных событий.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t>1.2. Причинение выборному лицу местного самоуправления, в связи с исполнением им должностных обязанностей, увечья или иного повреждения здоровья, исключающая дальнейшую возможность замещать должность, и установлении: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t>1.2.1. третьей степени ограничения способности к трудовой деятельности – в размере 100%  годового денежного вознаграждения соответствующего выборного лица местного самоуправления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t>1.2.2. второй степени ограничения способности к трудовой деятельности в 70% годового денежного вознаграждения соответствующего выборного лица местного самоуправления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t>1.2.3. первой степени ограничения способности к трудовой деятельности в 50% годового денежного вознаграждения соответствующего выборного лица местного самоуправления</w:t>
      </w:r>
    </w:p>
    <w:p w:rsidR="00126FB9" w:rsidRDefault="00126FB9" w:rsidP="00126FB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1.3. Причинение выборному лицу местного самоуправления в связи с исполнением им ранее должностных полномочий, телесных повреждений или иного повреждения здоровья повлекших стойкую утрату трудоспособности без установления инвалидности в размере 40% годового денежного вознаграждения лица, замещающего соответствующую выборную должность.</w:t>
      </w:r>
    </w:p>
    <w:p w:rsidR="00126FB9" w:rsidRDefault="00126FB9" w:rsidP="00126FB9"/>
    <w:p w:rsidR="00840606" w:rsidRDefault="00840606"/>
    <w:sectPr w:rsidR="00840606" w:rsidSect="000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EE"/>
    <w:multiLevelType w:val="hybridMultilevel"/>
    <w:tmpl w:val="506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B6D31"/>
    <w:multiLevelType w:val="hybridMultilevel"/>
    <w:tmpl w:val="0AA2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5FFF"/>
    <w:multiLevelType w:val="multilevel"/>
    <w:tmpl w:val="88A21F22"/>
    <w:lvl w:ilvl="0">
      <w:start w:val="1"/>
      <w:numFmt w:val="decimal"/>
      <w:lvlText w:val="%1."/>
      <w:lvlJc w:val="left"/>
      <w:pPr>
        <w:ind w:left="689" w:hanging="360"/>
      </w:pPr>
    </w:lvl>
    <w:lvl w:ilvl="1">
      <w:start w:val="1"/>
      <w:numFmt w:val="decimal"/>
      <w:isLgl/>
      <w:lvlText w:val="%1.%2"/>
      <w:lvlJc w:val="left"/>
      <w:pPr>
        <w:ind w:left="749" w:hanging="420"/>
      </w:pPr>
    </w:lvl>
    <w:lvl w:ilvl="2">
      <w:start w:val="1"/>
      <w:numFmt w:val="decimal"/>
      <w:isLgl/>
      <w:lvlText w:val="%1.%2.%3"/>
      <w:lvlJc w:val="left"/>
      <w:pPr>
        <w:ind w:left="1049" w:hanging="720"/>
      </w:pPr>
    </w:lvl>
    <w:lvl w:ilvl="3">
      <w:start w:val="1"/>
      <w:numFmt w:val="decimal"/>
      <w:isLgl/>
      <w:lvlText w:val="%1.%2.%3.%4"/>
      <w:lvlJc w:val="left"/>
      <w:pPr>
        <w:ind w:left="1409" w:hanging="1080"/>
      </w:pPr>
    </w:lvl>
    <w:lvl w:ilvl="4">
      <w:start w:val="1"/>
      <w:numFmt w:val="decimal"/>
      <w:isLgl/>
      <w:lvlText w:val="%1.%2.%3.%4.%5"/>
      <w:lvlJc w:val="left"/>
      <w:pPr>
        <w:ind w:left="1409" w:hanging="1080"/>
      </w:pPr>
    </w:lvl>
    <w:lvl w:ilvl="5">
      <w:start w:val="1"/>
      <w:numFmt w:val="decimal"/>
      <w:isLgl/>
      <w:lvlText w:val="%1.%2.%3.%4.%5.%6"/>
      <w:lvlJc w:val="left"/>
      <w:pPr>
        <w:ind w:left="1769" w:hanging="1440"/>
      </w:pPr>
    </w:lvl>
    <w:lvl w:ilvl="6">
      <w:start w:val="1"/>
      <w:numFmt w:val="decimal"/>
      <w:isLgl/>
      <w:lvlText w:val="%1.%2.%3.%4.%5.%6.%7"/>
      <w:lvlJc w:val="left"/>
      <w:pPr>
        <w:ind w:left="1769" w:hanging="1440"/>
      </w:pPr>
    </w:lvl>
    <w:lvl w:ilvl="7">
      <w:start w:val="1"/>
      <w:numFmt w:val="decimal"/>
      <w:isLgl/>
      <w:lvlText w:val="%1.%2.%3.%4.%5.%6.%7.%8"/>
      <w:lvlJc w:val="left"/>
      <w:pPr>
        <w:ind w:left="2129" w:hanging="1800"/>
      </w:pPr>
    </w:lvl>
    <w:lvl w:ilvl="8">
      <w:start w:val="1"/>
      <w:numFmt w:val="decimal"/>
      <w:isLgl/>
      <w:lvlText w:val="%1.%2.%3.%4.%5.%6.%7.%8.%9"/>
      <w:lvlJc w:val="left"/>
      <w:pPr>
        <w:ind w:left="2489" w:hanging="2160"/>
      </w:pPr>
    </w:lvl>
  </w:abstractNum>
  <w:abstractNum w:abstractNumId="3">
    <w:nsid w:val="785F2DBB"/>
    <w:multiLevelType w:val="multilevel"/>
    <w:tmpl w:val="9C7E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937DDB"/>
    <w:rsid w:val="00034298"/>
    <w:rsid w:val="00126FB9"/>
    <w:rsid w:val="006C40AF"/>
    <w:rsid w:val="00840606"/>
    <w:rsid w:val="00937DDB"/>
    <w:rsid w:val="00B674C1"/>
    <w:rsid w:val="00E33F86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14352</Characters>
  <Application>Microsoft Office Word</Application>
  <DocSecurity>0</DocSecurity>
  <Lines>119</Lines>
  <Paragraphs>33</Paragraphs>
  <ScaleCrop>false</ScaleCrop>
  <Company>Microsoft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2012-11-30T04:25:00Z</dcterms:created>
  <dcterms:modified xsi:type="dcterms:W3CDTF">2013-02-14T07:12:00Z</dcterms:modified>
</cp:coreProperties>
</file>