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 wp14:anchorId="4107DACD" wp14:editId="6561BEFD">
            <wp:extent cx="819150" cy="102947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D84" w:rsidRPr="00726D84" w:rsidRDefault="00214C46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09.07.2021 г. №154п/21</w:t>
      </w:r>
      <w:bookmarkStart w:id="0" w:name="_GoBack"/>
      <w:bookmarkEnd w:id="0"/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ИРКУТСКАЯ ОБЛАСТЬ</w:t>
      </w:r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726D84" w:rsidRPr="007B1FDC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МЭР</w:t>
      </w:r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ПОСТАНОВЛЕНИЕ</w:t>
      </w:r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О ВНЕСЕНИИ ИЗМЕНЕНИЙ В ПОСТАНОВЛЕНИЕ МЭРА ОТ 12.11.2020 №198п/20</w:t>
      </w:r>
    </w:p>
    <w:p w:rsidR="00726D84" w:rsidRPr="00726D84" w:rsidRDefault="00726D84" w:rsidP="00726D84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726D84">
        <w:rPr>
          <w:rFonts w:ascii="Arial" w:hAnsi="Arial" w:cs="Arial"/>
          <w:b/>
          <w:sz w:val="32"/>
          <w:szCs w:val="32"/>
        </w:rPr>
        <w:t>«О ВВЕДЕНИИ РЕЖИМА ФУНКЦИОНИРОВАНИЯ ПОВЫШЕННОЙ ГОТОВНОСТИ НА ТЕРРИТОРИИ БАЯНДАЕВСКОГО РАЙОНА»</w:t>
      </w:r>
    </w:p>
    <w:p w:rsidR="00726D84" w:rsidRDefault="00726D84" w:rsidP="00726D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26D84" w:rsidRDefault="00726D84" w:rsidP="00726D84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6D84">
        <w:rPr>
          <w:rFonts w:ascii="Arial" w:hAnsi="Arial" w:cs="Arial"/>
          <w:sz w:val="24"/>
          <w:szCs w:val="24"/>
        </w:rPr>
        <w:t>В соответствии со статьей 11 Федерального закона от 21 декабря 1994 года № 68-ФЗ «О защите населения и территорий от чрезвычайных ситуаций природного и техногенного характера», Указом Президента Российской Федерации от 11 мая 2020 года № 316 «Об определении порядка продления действия мер по обеспечению санитарно</w:t>
      </w:r>
      <w:r w:rsidR="00523EF2" w:rsidRPr="00523EF2">
        <w:rPr>
          <w:rFonts w:ascii="Arial" w:hAnsi="Arial" w:cs="Arial"/>
          <w:sz w:val="24"/>
          <w:szCs w:val="24"/>
        </w:rPr>
        <w:t>-</w:t>
      </w:r>
      <w:r w:rsidRPr="00726D84">
        <w:rPr>
          <w:rFonts w:ascii="Arial" w:hAnsi="Arial" w:cs="Arial"/>
          <w:sz w:val="24"/>
          <w:szCs w:val="24"/>
        </w:rPr>
        <w:t>эпидемиологического благополучия населения в субъектах Российской Федерации в связи с распространением новой коронавирусной инфекции (COVID-19)», с учетом</w:t>
      </w:r>
      <w:proofErr w:type="gramEnd"/>
      <w:r w:rsidRPr="00726D8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6D84">
        <w:rPr>
          <w:rFonts w:ascii="Arial" w:hAnsi="Arial" w:cs="Arial"/>
          <w:sz w:val="24"/>
          <w:szCs w:val="24"/>
        </w:rPr>
        <w:t>протоколов заседаний санитарно</w:t>
      </w:r>
      <w:r w:rsidR="00523EF2" w:rsidRPr="00523EF2">
        <w:rPr>
          <w:rFonts w:ascii="Arial" w:hAnsi="Arial" w:cs="Arial"/>
          <w:sz w:val="24"/>
          <w:szCs w:val="24"/>
        </w:rPr>
        <w:t>-</w:t>
      </w:r>
      <w:r w:rsidRPr="00726D84">
        <w:rPr>
          <w:rFonts w:ascii="Arial" w:hAnsi="Arial" w:cs="Arial"/>
          <w:sz w:val="24"/>
          <w:szCs w:val="24"/>
        </w:rPr>
        <w:t xml:space="preserve">противоэпидемической комиссии при Правительстве Иркутской области от 22 июня 2021 года, от 24 июня 2021 года, руководствуясь </w:t>
      </w:r>
      <w:r w:rsidR="00F42777" w:rsidRPr="00F42777">
        <w:rPr>
          <w:rFonts w:ascii="Arial" w:hAnsi="Arial" w:cs="Arial"/>
          <w:bCs/>
          <w:sz w:val="24"/>
          <w:szCs w:val="24"/>
        </w:rPr>
        <w:t xml:space="preserve">Указом губернатора Иркутской области от </w:t>
      </w:r>
      <w:r w:rsidR="00F42777">
        <w:rPr>
          <w:rFonts w:ascii="Arial" w:hAnsi="Arial" w:cs="Arial"/>
          <w:bCs/>
          <w:sz w:val="24"/>
          <w:szCs w:val="24"/>
        </w:rPr>
        <w:t>29</w:t>
      </w:r>
      <w:r w:rsidR="00F42777" w:rsidRPr="00F42777">
        <w:rPr>
          <w:rFonts w:ascii="Arial" w:hAnsi="Arial" w:cs="Arial"/>
          <w:bCs/>
          <w:sz w:val="24"/>
          <w:szCs w:val="24"/>
        </w:rPr>
        <w:t xml:space="preserve"> июня 2021 года</w:t>
      </w:r>
      <w:r w:rsidR="00F42777">
        <w:rPr>
          <w:rFonts w:ascii="Arial" w:hAnsi="Arial" w:cs="Arial"/>
          <w:bCs/>
          <w:sz w:val="24"/>
          <w:szCs w:val="24"/>
        </w:rPr>
        <w:t xml:space="preserve"> № 172</w:t>
      </w:r>
      <w:r w:rsidR="00F42777" w:rsidRPr="00F42777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12 октября 2020 года № 279-уг",</w:t>
      </w:r>
      <w:r w:rsidR="00992B7C" w:rsidRPr="00992B7C">
        <w:rPr>
          <w:rFonts w:ascii="Arial" w:hAnsi="Arial" w:cs="Arial"/>
          <w:bCs/>
          <w:sz w:val="24"/>
          <w:szCs w:val="24"/>
        </w:rPr>
        <w:t xml:space="preserve"> Указом губернатора Иркутской области от </w:t>
      </w:r>
      <w:r w:rsidR="00992B7C">
        <w:rPr>
          <w:rFonts w:ascii="Arial" w:hAnsi="Arial" w:cs="Arial"/>
          <w:bCs/>
          <w:sz w:val="24"/>
          <w:szCs w:val="24"/>
        </w:rPr>
        <w:t>02 июл</w:t>
      </w:r>
      <w:r w:rsidR="00992B7C" w:rsidRPr="00992B7C">
        <w:rPr>
          <w:rFonts w:ascii="Arial" w:hAnsi="Arial" w:cs="Arial"/>
          <w:bCs/>
          <w:sz w:val="24"/>
          <w:szCs w:val="24"/>
        </w:rPr>
        <w:t>я 2021 года</w:t>
      </w:r>
      <w:r w:rsidR="00992B7C">
        <w:rPr>
          <w:rFonts w:ascii="Arial" w:hAnsi="Arial" w:cs="Arial"/>
          <w:bCs/>
          <w:sz w:val="24"/>
          <w:szCs w:val="24"/>
        </w:rPr>
        <w:t xml:space="preserve"> № 174</w:t>
      </w:r>
      <w:r w:rsidR="00992B7C" w:rsidRPr="00992B7C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</w:t>
      </w:r>
      <w:proofErr w:type="gramEnd"/>
      <w:r w:rsidR="00992B7C" w:rsidRPr="00992B7C">
        <w:rPr>
          <w:rFonts w:ascii="Arial" w:hAnsi="Arial" w:cs="Arial"/>
          <w:bCs/>
          <w:sz w:val="24"/>
          <w:szCs w:val="24"/>
        </w:rPr>
        <w:t xml:space="preserve"> области от 12 октября 2020 года № 279-уг",</w:t>
      </w:r>
      <w:r w:rsidR="00F42777" w:rsidRPr="00F42777">
        <w:rPr>
          <w:rFonts w:ascii="Arial" w:hAnsi="Arial" w:cs="Arial"/>
          <w:bCs/>
          <w:sz w:val="24"/>
          <w:szCs w:val="24"/>
        </w:rPr>
        <w:t xml:space="preserve"> </w:t>
      </w:r>
      <w:r w:rsidR="00992B7C" w:rsidRPr="00992B7C">
        <w:rPr>
          <w:rFonts w:ascii="Arial" w:hAnsi="Arial" w:cs="Arial"/>
          <w:bCs/>
          <w:sz w:val="24"/>
          <w:szCs w:val="24"/>
        </w:rPr>
        <w:t xml:space="preserve">Указом губернатора Иркутской области от </w:t>
      </w:r>
      <w:r w:rsidR="00992B7C">
        <w:rPr>
          <w:rFonts w:ascii="Arial" w:hAnsi="Arial" w:cs="Arial"/>
          <w:bCs/>
          <w:sz w:val="24"/>
          <w:szCs w:val="24"/>
        </w:rPr>
        <w:t>06 июл</w:t>
      </w:r>
      <w:r w:rsidR="00992B7C" w:rsidRPr="00992B7C">
        <w:rPr>
          <w:rFonts w:ascii="Arial" w:hAnsi="Arial" w:cs="Arial"/>
          <w:bCs/>
          <w:sz w:val="24"/>
          <w:szCs w:val="24"/>
        </w:rPr>
        <w:t>я 2021 года</w:t>
      </w:r>
      <w:r w:rsidR="00992B7C">
        <w:rPr>
          <w:rFonts w:ascii="Arial" w:hAnsi="Arial" w:cs="Arial"/>
          <w:bCs/>
          <w:sz w:val="24"/>
          <w:szCs w:val="24"/>
        </w:rPr>
        <w:t xml:space="preserve"> № 176</w:t>
      </w:r>
      <w:r w:rsidR="00992B7C" w:rsidRPr="00992B7C">
        <w:rPr>
          <w:rFonts w:ascii="Arial" w:hAnsi="Arial" w:cs="Arial"/>
          <w:bCs/>
          <w:sz w:val="24"/>
          <w:szCs w:val="24"/>
        </w:rPr>
        <w:t>-уг "О внесении изменений в указ Губернатора Иркутской области от 12 октября 2020 года № 279-уг"</w:t>
      </w:r>
      <w:proofErr w:type="gramStart"/>
      <w:r w:rsidR="00992B7C" w:rsidRPr="00992B7C">
        <w:rPr>
          <w:rFonts w:ascii="Arial" w:hAnsi="Arial" w:cs="Arial"/>
          <w:bCs/>
          <w:sz w:val="24"/>
          <w:szCs w:val="24"/>
        </w:rPr>
        <w:t>,</w:t>
      </w:r>
      <w:r w:rsidR="00F42777" w:rsidRPr="00F42777">
        <w:rPr>
          <w:rFonts w:ascii="Arial" w:hAnsi="Arial" w:cs="Arial"/>
          <w:bCs/>
          <w:sz w:val="24"/>
          <w:szCs w:val="24"/>
        </w:rPr>
        <w:t>с</w:t>
      </w:r>
      <w:proofErr w:type="gramEnd"/>
      <w:r w:rsidR="00F42777" w:rsidRPr="00F42777">
        <w:rPr>
          <w:rFonts w:ascii="Arial" w:hAnsi="Arial" w:cs="Arial"/>
          <w:bCs/>
          <w:sz w:val="24"/>
          <w:szCs w:val="24"/>
        </w:rPr>
        <w:t>татьями 33, 48 Устава МО «Баяндаевский район»</w:t>
      </w:r>
      <w:r w:rsidR="00F42777">
        <w:rPr>
          <w:rFonts w:ascii="Arial" w:hAnsi="Arial" w:cs="Arial"/>
          <w:bCs/>
          <w:sz w:val="24"/>
          <w:szCs w:val="24"/>
        </w:rPr>
        <w:t>,</w:t>
      </w:r>
    </w:p>
    <w:p w:rsidR="00726D84" w:rsidRPr="00726D84" w:rsidRDefault="00726D84" w:rsidP="00726D84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26D84">
        <w:rPr>
          <w:rFonts w:ascii="Arial" w:hAnsi="Arial" w:cs="Arial"/>
          <w:b/>
          <w:sz w:val="30"/>
          <w:szCs w:val="30"/>
        </w:rPr>
        <w:t>ПОСТАНОВЛЯЮ:</w:t>
      </w:r>
    </w:p>
    <w:p w:rsidR="00726D84" w:rsidRDefault="00726D84" w:rsidP="00726D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26D84">
        <w:rPr>
          <w:rFonts w:ascii="Arial" w:hAnsi="Arial" w:cs="Arial"/>
          <w:sz w:val="24"/>
          <w:szCs w:val="24"/>
        </w:rPr>
        <w:t xml:space="preserve">1. Внести в постановление Мэра МО «Баяндаевский район» </w:t>
      </w:r>
      <w:hyperlink r:id="rId6" w:history="1">
        <w:r w:rsidRPr="00726D84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от 12  ноября 2020 года № 198п/20</w:t>
        </w:r>
      </w:hyperlink>
      <w:r w:rsidRPr="00726D84">
        <w:rPr>
          <w:rFonts w:ascii="Arial" w:hAnsi="Arial" w:cs="Arial"/>
          <w:sz w:val="24"/>
          <w:szCs w:val="24"/>
        </w:rPr>
        <w:t xml:space="preserve"> "О режиме функционирования повышенной готовности на </w:t>
      </w:r>
      <w:r w:rsidRPr="00726D84"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r w:rsidR="00523EF2">
        <w:rPr>
          <w:rFonts w:ascii="Arial" w:hAnsi="Arial" w:cs="Arial"/>
          <w:sz w:val="24"/>
          <w:szCs w:val="24"/>
        </w:rPr>
        <w:t>МО «</w:t>
      </w:r>
      <w:proofErr w:type="spellStart"/>
      <w:r w:rsidR="00523EF2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523EF2">
        <w:rPr>
          <w:rFonts w:ascii="Arial" w:hAnsi="Arial" w:cs="Arial"/>
          <w:sz w:val="24"/>
          <w:szCs w:val="24"/>
        </w:rPr>
        <w:t xml:space="preserve"> района»</w:t>
      </w:r>
      <w:r w:rsidRPr="00726D84">
        <w:rPr>
          <w:rFonts w:ascii="Arial" w:hAnsi="Arial" w:cs="Arial"/>
          <w:sz w:val="24"/>
          <w:szCs w:val="24"/>
        </w:rPr>
        <w:t xml:space="preserve"> (далее - постановление) следующие изменения:</w:t>
      </w:r>
    </w:p>
    <w:p w:rsidR="00B6263A" w:rsidRDefault="00F80246" w:rsidP="00726D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B6263A" w:rsidRPr="00B6263A">
        <w:rPr>
          <w:rFonts w:ascii="Arial" w:hAnsi="Arial" w:cs="Arial"/>
          <w:sz w:val="24"/>
          <w:szCs w:val="24"/>
        </w:rPr>
        <w:t>) в пункте 9</w:t>
      </w:r>
      <w:r w:rsidR="00B6263A">
        <w:rPr>
          <w:rFonts w:ascii="Arial" w:hAnsi="Arial" w:cs="Arial"/>
          <w:sz w:val="24"/>
          <w:szCs w:val="24"/>
        </w:rPr>
        <w:t>.</w:t>
      </w:r>
      <w:r w:rsidR="00B6263A" w:rsidRPr="00B6263A">
        <w:rPr>
          <w:rFonts w:ascii="Arial" w:hAnsi="Arial" w:cs="Arial"/>
          <w:sz w:val="24"/>
          <w:szCs w:val="24"/>
        </w:rPr>
        <w:t>1 Правил поведения при введении режима повышенной готовности на территории</w:t>
      </w:r>
      <w:r w:rsidR="00AB1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5C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AB15CF">
        <w:rPr>
          <w:rFonts w:ascii="Arial" w:hAnsi="Arial" w:cs="Arial"/>
          <w:sz w:val="24"/>
          <w:szCs w:val="24"/>
        </w:rPr>
        <w:t xml:space="preserve"> района</w:t>
      </w:r>
      <w:r w:rsidR="00B6263A" w:rsidRPr="00B6263A">
        <w:rPr>
          <w:rFonts w:ascii="Arial" w:hAnsi="Arial" w:cs="Arial"/>
          <w:sz w:val="24"/>
          <w:szCs w:val="24"/>
        </w:rPr>
        <w:t xml:space="preserve">, на которой существует угроза возникновения чрезвычайной ситуации в связи с распространением новой коронавирусной инфекции (COVID-19) (Порядка передвижения на территории </w:t>
      </w:r>
      <w:proofErr w:type="spellStart"/>
      <w:r w:rsidR="00AB15C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AB15CF">
        <w:rPr>
          <w:rFonts w:ascii="Arial" w:hAnsi="Arial" w:cs="Arial"/>
          <w:sz w:val="24"/>
          <w:szCs w:val="24"/>
        </w:rPr>
        <w:t xml:space="preserve"> района </w:t>
      </w:r>
      <w:r w:rsidR="00B6263A" w:rsidRPr="00B6263A">
        <w:rPr>
          <w:rFonts w:ascii="Arial" w:hAnsi="Arial" w:cs="Arial"/>
          <w:sz w:val="24"/>
          <w:szCs w:val="24"/>
        </w:rPr>
        <w:t xml:space="preserve">лиц и транспортных средств, за исключением транспортных средств, осуществляющих межрегиональные перевозки), установленных </w:t>
      </w:r>
      <w:r w:rsidR="00AB15CF">
        <w:rPr>
          <w:rFonts w:ascii="Arial" w:hAnsi="Arial" w:cs="Arial"/>
          <w:sz w:val="24"/>
          <w:szCs w:val="24"/>
        </w:rPr>
        <w:t>постановление</w:t>
      </w:r>
      <w:r w:rsidR="00B6263A" w:rsidRPr="00B6263A">
        <w:rPr>
          <w:rFonts w:ascii="Arial" w:hAnsi="Arial" w:cs="Arial"/>
          <w:sz w:val="24"/>
          <w:szCs w:val="24"/>
        </w:rPr>
        <w:t>м, слова «Организаторам спортивных мероприятий» заменить словам</w:t>
      </w:r>
      <w:r w:rsidR="00B6263A">
        <w:rPr>
          <w:rFonts w:ascii="Arial" w:hAnsi="Arial" w:cs="Arial"/>
          <w:sz w:val="24"/>
          <w:szCs w:val="24"/>
        </w:rPr>
        <w:t>и «Командирующим организациям»;</w:t>
      </w:r>
      <w:proofErr w:type="gramEnd"/>
    </w:p>
    <w:p w:rsidR="00B6263A" w:rsidRDefault="00F80246" w:rsidP="00AB15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6263A" w:rsidRPr="00B6263A">
        <w:rPr>
          <w:rFonts w:ascii="Arial" w:hAnsi="Arial" w:cs="Arial"/>
          <w:sz w:val="24"/>
          <w:szCs w:val="24"/>
        </w:rPr>
        <w:t>) в Правилах поведения при введении режима повышенной готовности на территории</w:t>
      </w:r>
      <w:r w:rsidR="00AB15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15CF">
        <w:rPr>
          <w:rFonts w:ascii="Arial" w:hAnsi="Arial" w:cs="Arial"/>
          <w:sz w:val="24"/>
          <w:szCs w:val="24"/>
        </w:rPr>
        <w:t>Баяндаевского</w:t>
      </w:r>
      <w:proofErr w:type="spellEnd"/>
      <w:r w:rsidR="00AB15CF">
        <w:rPr>
          <w:rFonts w:ascii="Arial" w:hAnsi="Arial" w:cs="Arial"/>
          <w:sz w:val="24"/>
          <w:szCs w:val="24"/>
        </w:rPr>
        <w:t xml:space="preserve"> района</w:t>
      </w:r>
      <w:r w:rsidR="00B6263A" w:rsidRPr="00B6263A">
        <w:rPr>
          <w:rFonts w:ascii="Arial" w:hAnsi="Arial" w:cs="Arial"/>
          <w:sz w:val="24"/>
          <w:szCs w:val="24"/>
        </w:rPr>
        <w:t>, на которой существует угроза возникновения чрезвычайной ситуации в связи с распространением новой коронавирусной инфекции (COVID-19), для лиц, привлекаемых к работе вахтовым методом, для выполнения сезонных работ, и работодателей, применяющих вахтовый метод работы, метод сезонн</w:t>
      </w:r>
      <w:r w:rsidR="00B6263A">
        <w:rPr>
          <w:rFonts w:ascii="Arial" w:hAnsi="Arial" w:cs="Arial"/>
          <w:sz w:val="24"/>
          <w:szCs w:val="24"/>
        </w:rPr>
        <w:t xml:space="preserve">ых работ, установленных </w:t>
      </w:r>
      <w:r w:rsidR="00AB15CF">
        <w:rPr>
          <w:rFonts w:ascii="Arial" w:hAnsi="Arial" w:cs="Arial"/>
          <w:sz w:val="24"/>
          <w:szCs w:val="24"/>
        </w:rPr>
        <w:t>постановлением:</w:t>
      </w:r>
    </w:p>
    <w:p w:rsidR="00B6263A" w:rsidRDefault="00B6263A" w:rsidP="00726D8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>пункт 2</w:t>
      </w:r>
      <w:r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B6263A" w:rsidRDefault="00B6263A" w:rsidP="00AB15C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«2. Лицам, привлекаемым к работе вахтовым методом, для выполнения сезонных работ, в соответствии с методическими рекомендациями «МР 3.1/2.2.0176/1-20. 3.1. Профилактика инфекционных болезней. 2.2. Гигиена труда. Рекомендации по организации работы вахтовым методом в условиях сохранения рисков распространения COVID-19. </w:t>
      </w:r>
      <w:proofErr w:type="gramStart"/>
      <w:r w:rsidRPr="00B6263A">
        <w:rPr>
          <w:rFonts w:ascii="Arial" w:hAnsi="Arial" w:cs="Arial"/>
          <w:sz w:val="24"/>
          <w:szCs w:val="24"/>
        </w:rPr>
        <w:t xml:space="preserve">Методические рекомендации» (утверждены Главным государственным санитарным врачом Российской Федерации 30 апреля 2020 года) обеспечить перед началом вахты, сезонных работ выполнение требований по изоляции в </w:t>
      </w:r>
      <w:proofErr w:type="spellStart"/>
      <w:r w:rsidRPr="00B6263A">
        <w:rPr>
          <w:rFonts w:ascii="Arial" w:hAnsi="Arial" w:cs="Arial"/>
          <w:sz w:val="24"/>
          <w:szCs w:val="24"/>
        </w:rPr>
        <w:t>обсерваторах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работодателя, осмотр врача и сдачу биологического материала для проведения его лабораторного исследования на COVID-19 методом полимеразной цепной реакции (далее - ПЦР) на рибонуклеиновую кислоту (далее - РНК) SARS-CoV-2 или на определение антигена SARS-CoV-2, а также методом иммуноферментного</w:t>
      </w:r>
      <w:proofErr w:type="gramEnd"/>
      <w:r w:rsidRPr="00B6263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6263A">
        <w:rPr>
          <w:rFonts w:ascii="Arial" w:hAnsi="Arial" w:cs="Arial"/>
          <w:sz w:val="24"/>
          <w:szCs w:val="24"/>
        </w:rPr>
        <w:t xml:space="preserve">анализа (далее - ИФА), </w:t>
      </w:r>
      <w:proofErr w:type="spellStart"/>
      <w:r w:rsidRPr="00B6263A">
        <w:rPr>
          <w:rFonts w:ascii="Arial" w:hAnsi="Arial" w:cs="Arial"/>
          <w:sz w:val="24"/>
          <w:szCs w:val="24"/>
        </w:rPr>
        <w:t>иммунохроматографического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3 анализа или </w:t>
      </w:r>
      <w:proofErr w:type="spellStart"/>
      <w:r w:rsidRPr="00B6263A">
        <w:rPr>
          <w:rFonts w:ascii="Arial" w:hAnsi="Arial" w:cs="Arial"/>
          <w:sz w:val="24"/>
          <w:szCs w:val="24"/>
        </w:rPr>
        <w:t>иммунохемилюминесценции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</w:t>
      </w:r>
      <w:r w:rsidR="00AB15CF">
        <w:rPr>
          <w:rFonts w:ascii="Arial" w:hAnsi="Arial" w:cs="Arial"/>
          <w:sz w:val="24"/>
          <w:szCs w:val="24"/>
        </w:rPr>
        <w:t xml:space="preserve"> </w:t>
      </w:r>
      <w:r w:rsidRPr="00B6263A">
        <w:rPr>
          <w:rFonts w:ascii="Arial" w:hAnsi="Arial" w:cs="Arial"/>
          <w:sz w:val="24"/>
          <w:szCs w:val="24"/>
        </w:rPr>
        <w:t xml:space="preserve">(на наличие иммуноглобулина G (далее -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>) и и</w:t>
      </w:r>
      <w:r w:rsidR="004D0C70">
        <w:rPr>
          <w:rFonts w:ascii="Arial" w:hAnsi="Arial" w:cs="Arial"/>
          <w:sz w:val="24"/>
          <w:szCs w:val="24"/>
        </w:rPr>
        <w:t xml:space="preserve">ммуноглобулина М (далее - </w:t>
      </w:r>
      <w:proofErr w:type="spellStart"/>
      <w:r w:rsidR="004D0C70">
        <w:rPr>
          <w:rFonts w:ascii="Arial" w:hAnsi="Arial" w:cs="Arial"/>
          <w:sz w:val="24"/>
          <w:szCs w:val="24"/>
        </w:rPr>
        <w:t>IgM</w:t>
      </w:r>
      <w:proofErr w:type="spellEnd"/>
      <w:r w:rsidR="004D0C70">
        <w:rPr>
          <w:rFonts w:ascii="Arial" w:hAnsi="Arial" w:cs="Arial"/>
          <w:sz w:val="24"/>
          <w:szCs w:val="24"/>
        </w:rPr>
        <w:t xml:space="preserve">). </w:t>
      </w:r>
      <w:proofErr w:type="gramEnd"/>
    </w:p>
    <w:p w:rsidR="00B6263A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>По результатам лабораторного исследования:</w:t>
      </w:r>
    </w:p>
    <w:p w:rsidR="00B6263A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 работники с положительным результатом исследования методом ПЦР и (или) при наличии </w:t>
      </w:r>
      <w:proofErr w:type="spellStart"/>
      <w:r w:rsidRPr="00B6263A">
        <w:rPr>
          <w:rFonts w:ascii="Arial" w:hAnsi="Arial" w:cs="Arial"/>
          <w:sz w:val="24"/>
          <w:szCs w:val="24"/>
        </w:rPr>
        <w:t>IgM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подлежат госпитализации в медицинскую организацию, при этом лица, контактировавшие с больным COVID-19, подлежат изол</w:t>
      </w:r>
      <w:r>
        <w:rPr>
          <w:rFonts w:ascii="Arial" w:hAnsi="Arial" w:cs="Arial"/>
          <w:sz w:val="24"/>
          <w:szCs w:val="24"/>
        </w:rPr>
        <w:t>яции и медицинскому наблюдению;</w:t>
      </w:r>
    </w:p>
    <w:p w:rsidR="00B6263A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работники с отрицательным результатом исследования методом ПЦР и наличием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, по результатам медицинского заключения направляются к месту осуществления трудовой деятельности без ограничений; при этом достаточные уровни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должны находиться в диапазоне положительного индекса позитивности, который вычисляется в соответствии с инструкцией к тест-системе для ИФА;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 работники с отрицательным результатом исследования методом ПЦР и отсутствием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подлежат обсервации в течение 14 календарны</w:t>
      </w:r>
      <w:r w:rsidR="00AB15CF">
        <w:rPr>
          <w:rFonts w:ascii="Arial" w:hAnsi="Arial" w:cs="Arial"/>
          <w:sz w:val="24"/>
          <w:szCs w:val="24"/>
        </w:rPr>
        <w:t>х дней с момента их размещения.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lastRenderedPageBreak/>
        <w:t xml:space="preserve">В отношении лиц, указанных в абзаце пятом настоящего пункта, повторное лабораторное исследование на COVID-19 методом ПЦР организуется не ранее, чем на восьмой календарный день с момента размещения работника в </w:t>
      </w:r>
      <w:proofErr w:type="spellStart"/>
      <w:r w:rsidRPr="00B6263A">
        <w:rPr>
          <w:rFonts w:ascii="Arial" w:hAnsi="Arial" w:cs="Arial"/>
          <w:sz w:val="24"/>
          <w:szCs w:val="24"/>
        </w:rPr>
        <w:t>обсерваторе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, по результатам которого: 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>при получении отрицательного результата повторного лабораторного исследования на основании медицинского заключения работники направляются к месту осуществления трудовой деятельности по истечении 14 календарных дней с момента разм</w:t>
      </w:r>
      <w:r w:rsidR="00AB15CF">
        <w:rPr>
          <w:rFonts w:ascii="Arial" w:hAnsi="Arial" w:cs="Arial"/>
          <w:sz w:val="24"/>
          <w:szCs w:val="24"/>
        </w:rPr>
        <w:t xml:space="preserve">ещения работника в </w:t>
      </w:r>
      <w:proofErr w:type="spellStart"/>
      <w:r w:rsidR="00AB15CF">
        <w:rPr>
          <w:rFonts w:ascii="Arial" w:hAnsi="Arial" w:cs="Arial"/>
          <w:sz w:val="24"/>
          <w:szCs w:val="24"/>
        </w:rPr>
        <w:t>обсерваторе</w:t>
      </w:r>
      <w:proofErr w:type="spellEnd"/>
      <w:r w:rsidR="00AB15CF">
        <w:rPr>
          <w:rFonts w:ascii="Arial" w:hAnsi="Arial" w:cs="Arial"/>
          <w:sz w:val="24"/>
          <w:szCs w:val="24"/>
        </w:rPr>
        <w:t>;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>при наличии положительного результата исследований и (или) появления симптомов, не исключающих COVID-19, у работника, в отношении него и лиц, контактировавших с ним, организуется проведение противоэпидемических мероприятий в соответствии с требованиями санитарного законодатель</w:t>
      </w:r>
      <w:r w:rsidR="00AB15CF">
        <w:rPr>
          <w:rFonts w:ascii="Arial" w:hAnsi="Arial" w:cs="Arial"/>
          <w:sz w:val="24"/>
          <w:szCs w:val="24"/>
        </w:rPr>
        <w:t>ства</w:t>
      </w:r>
      <w:proofErr w:type="gramStart"/>
      <w:r w:rsidR="00AB15CF">
        <w:rPr>
          <w:rFonts w:ascii="Arial" w:hAnsi="Arial" w:cs="Arial"/>
          <w:sz w:val="24"/>
          <w:szCs w:val="24"/>
        </w:rPr>
        <w:t>.»;</w:t>
      </w:r>
      <w:proofErr w:type="gramEnd"/>
    </w:p>
    <w:p w:rsidR="00AB15CF" w:rsidRDefault="00AB15CF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дополнить пунктом 2.1 следующего содержания: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>«2</w:t>
      </w:r>
      <w:r w:rsidR="00AB15CF">
        <w:rPr>
          <w:rFonts w:ascii="Arial" w:hAnsi="Arial" w:cs="Arial"/>
          <w:sz w:val="24"/>
          <w:szCs w:val="24"/>
        </w:rPr>
        <w:t>.</w:t>
      </w:r>
      <w:r w:rsidRPr="00B6263A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B6263A">
        <w:rPr>
          <w:rFonts w:ascii="Arial" w:hAnsi="Arial" w:cs="Arial"/>
          <w:sz w:val="24"/>
          <w:szCs w:val="24"/>
        </w:rPr>
        <w:t xml:space="preserve">При представлении вакцинированными результатов исследований методом ИФА на наличие антител </w:t>
      </w:r>
      <w:proofErr w:type="spellStart"/>
      <w:r w:rsidRPr="00B6263A">
        <w:rPr>
          <w:rFonts w:ascii="Arial" w:hAnsi="Arial" w:cs="Arial"/>
          <w:sz w:val="24"/>
          <w:szCs w:val="24"/>
        </w:rPr>
        <w:t>IgM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после завершения курса вакцинации против COVID-19, заверенных печатью медицинской организации, проводившей исследование, и подписью медицинского работника, и удостоверяющих наличие антител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, дальнейшее исследование таких работников на наличие антител </w:t>
      </w:r>
      <w:proofErr w:type="spellStart"/>
      <w:r w:rsidRPr="00B6263A">
        <w:rPr>
          <w:rFonts w:ascii="Arial" w:hAnsi="Arial" w:cs="Arial"/>
          <w:sz w:val="24"/>
          <w:szCs w:val="24"/>
        </w:rPr>
        <w:t>IgM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возможно проводить через 6 месяцев по</w:t>
      </w:r>
      <w:r w:rsidR="004D0C70">
        <w:rPr>
          <w:rFonts w:ascii="Arial" w:hAnsi="Arial" w:cs="Arial"/>
          <w:sz w:val="24"/>
          <w:szCs w:val="24"/>
        </w:rPr>
        <w:t>сле завершения курса вакцинации.</w:t>
      </w:r>
      <w:proofErr w:type="gramEnd"/>
      <w:r w:rsidRPr="00B6263A">
        <w:rPr>
          <w:rFonts w:ascii="Arial" w:hAnsi="Arial" w:cs="Arial"/>
          <w:sz w:val="24"/>
          <w:szCs w:val="24"/>
        </w:rPr>
        <w:t xml:space="preserve"> При этом проведение лабораторного исследования на COVID-19 методом ПЦР на РНК SARS-CoV-2 или на определение анти</w:t>
      </w:r>
      <w:r w:rsidR="004D0C70">
        <w:rPr>
          <w:rFonts w:ascii="Arial" w:hAnsi="Arial" w:cs="Arial"/>
          <w:sz w:val="24"/>
          <w:szCs w:val="24"/>
        </w:rPr>
        <w:t>генов SARS-CoV-2 обязательно</w:t>
      </w:r>
      <w:r w:rsidR="00AB15CF">
        <w:rPr>
          <w:rFonts w:ascii="Arial" w:hAnsi="Arial" w:cs="Arial"/>
          <w:sz w:val="24"/>
          <w:szCs w:val="24"/>
        </w:rPr>
        <w:t>»;</w:t>
      </w:r>
    </w:p>
    <w:p w:rsidR="00AB15CF" w:rsidRDefault="00F80246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6263A" w:rsidRPr="00B6263A">
        <w:rPr>
          <w:rFonts w:ascii="Arial" w:hAnsi="Arial" w:cs="Arial"/>
          <w:sz w:val="24"/>
          <w:szCs w:val="24"/>
        </w:rPr>
        <w:t>) в Перечне организаций и индивидуальных предпринимателей, деятельность которых приостановлена (ограничена) в целях обеспечения санитарно-эпидемиологического благополучия населения в связи с распространением новой коронавирусной инфекции (C</w:t>
      </w:r>
      <w:r w:rsidR="00AB15CF">
        <w:rPr>
          <w:rFonts w:ascii="Arial" w:hAnsi="Arial" w:cs="Arial"/>
          <w:sz w:val="24"/>
          <w:szCs w:val="24"/>
        </w:rPr>
        <w:t>OVID-19), установленных</w:t>
      </w:r>
      <w:r w:rsidR="004D0C70">
        <w:rPr>
          <w:rFonts w:ascii="Arial" w:hAnsi="Arial" w:cs="Arial"/>
          <w:sz w:val="24"/>
          <w:szCs w:val="24"/>
        </w:rPr>
        <w:t xml:space="preserve"> постановлением</w:t>
      </w:r>
      <w:r w:rsidR="00AB15CF">
        <w:rPr>
          <w:rFonts w:ascii="Arial" w:hAnsi="Arial" w:cs="Arial"/>
          <w:sz w:val="24"/>
          <w:szCs w:val="24"/>
        </w:rPr>
        <w:t>:</w:t>
      </w:r>
    </w:p>
    <w:p w:rsidR="00F80246" w:rsidRP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>в пункте 2:</w:t>
      </w:r>
    </w:p>
    <w:p w:rsidR="00F80246" w:rsidRP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>подпункт 1 изложить в следующей редакции:</w:t>
      </w:r>
    </w:p>
    <w:p w:rsidR="00F80246" w:rsidRPr="00F80246" w:rsidRDefault="00992B7C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"1.</w:t>
      </w:r>
      <w:r w:rsidR="00F80246" w:rsidRPr="00F80246">
        <w:rPr>
          <w:rFonts w:ascii="Arial" w:hAnsi="Arial" w:cs="Arial"/>
          <w:sz w:val="24"/>
          <w:szCs w:val="24"/>
        </w:rPr>
        <w:t xml:space="preserve"> предоставление услуг ресторанов, кафе, столовых, буфетов, баров, закусочных и иных предприятий общественного питания (код ОКВЭД 2: 56), за исключением оказания гражданам услуг общественного питания в </w:t>
      </w:r>
      <w:proofErr w:type="spellStart"/>
      <w:r w:rsidR="00F80246" w:rsidRPr="00F80246">
        <w:rPr>
          <w:rFonts w:ascii="Arial" w:hAnsi="Arial" w:cs="Arial"/>
          <w:sz w:val="24"/>
          <w:szCs w:val="24"/>
        </w:rPr>
        <w:t>фудкортах</w:t>
      </w:r>
      <w:proofErr w:type="spellEnd"/>
      <w:proofErr w:type="gramStart"/>
      <w:r w:rsidR="00F80246" w:rsidRPr="00F80246">
        <w:rPr>
          <w:rFonts w:ascii="Arial" w:hAnsi="Arial" w:cs="Arial"/>
          <w:sz w:val="24"/>
          <w:szCs w:val="24"/>
        </w:rPr>
        <w:t>;"</w:t>
      </w:r>
      <w:proofErr w:type="gramEnd"/>
      <w:r w:rsidR="00F80246" w:rsidRPr="00F80246">
        <w:rPr>
          <w:rFonts w:ascii="Arial" w:hAnsi="Arial" w:cs="Arial"/>
          <w:sz w:val="24"/>
          <w:szCs w:val="24"/>
        </w:rPr>
        <w:t>;</w:t>
      </w:r>
    </w:p>
    <w:p w:rsidR="000E3472" w:rsidRP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 xml:space="preserve">"3. Приостановить на территории </w:t>
      </w:r>
      <w:proofErr w:type="spellStart"/>
      <w:r>
        <w:rPr>
          <w:rFonts w:ascii="Arial" w:hAnsi="Arial" w:cs="Arial"/>
          <w:sz w:val="24"/>
          <w:szCs w:val="24"/>
        </w:rPr>
        <w:t>Баяндаевского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Pr="000E3472">
        <w:rPr>
          <w:rFonts w:ascii="Arial" w:hAnsi="Arial" w:cs="Arial"/>
          <w:sz w:val="24"/>
          <w:szCs w:val="24"/>
        </w:rPr>
        <w:t>деятельность организаций независимо от организационно-правовой формы и формы собственности, а также индивидуальных предпринимателей</w:t>
      </w:r>
      <w:r>
        <w:rPr>
          <w:rFonts w:ascii="Arial" w:hAnsi="Arial" w:cs="Arial"/>
          <w:sz w:val="24"/>
          <w:szCs w:val="24"/>
        </w:rPr>
        <w:t xml:space="preserve"> (далее </w:t>
      </w:r>
      <w:proofErr w:type="gramStart"/>
      <w:r>
        <w:rPr>
          <w:rFonts w:ascii="Arial" w:hAnsi="Arial" w:cs="Arial"/>
          <w:sz w:val="24"/>
          <w:szCs w:val="24"/>
        </w:rPr>
        <w:t>-х</w:t>
      </w:r>
      <w:proofErr w:type="gramEnd"/>
      <w:r>
        <w:rPr>
          <w:rFonts w:ascii="Arial" w:hAnsi="Arial" w:cs="Arial"/>
          <w:sz w:val="24"/>
          <w:szCs w:val="24"/>
        </w:rPr>
        <w:t>озяйствующие субъекты</w:t>
      </w:r>
      <w:r w:rsidRPr="000E3472">
        <w:rPr>
          <w:rFonts w:ascii="Arial" w:hAnsi="Arial" w:cs="Arial"/>
          <w:sz w:val="24"/>
          <w:szCs w:val="24"/>
        </w:rPr>
        <w:t>:</w:t>
      </w:r>
    </w:p>
    <w:p w:rsidR="000E3472" w:rsidRP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1) предоставляющих услуги ночных клубов (дискотек) (код ОКВЭД 2: 90.04);</w:t>
      </w:r>
    </w:p>
    <w:p w:rsidR="000E3472" w:rsidRP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2) предоставляющих услуги в области искусства и организации развлечений, отдыха и развлечений, иных аналогичных услуг, услуг детских игровых комнат и детских развлекательных центров (код ОКВЭД 2: 90, 90.01, 90.04, 93) - на период по 18 июля 2021 года;</w:t>
      </w:r>
    </w:p>
    <w:p w:rsidR="000E3472" w:rsidRP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3) предоставляющих услуги СПА-салонов, соляриев, саун (коды ОКВЭД 2: 96.02, 96.04) - на период по 18 июля 2021 года;</w:t>
      </w:r>
    </w:p>
    <w:p w:rsid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 xml:space="preserve">4) предоставляющих услуги общественного питания в </w:t>
      </w:r>
      <w:proofErr w:type="spellStart"/>
      <w:r w:rsidRPr="000E3472">
        <w:rPr>
          <w:rFonts w:ascii="Arial" w:hAnsi="Arial" w:cs="Arial"/>
          <w:sz w:val="24"/>
          <w:szCs w:val="24"/>
        </w:rPr>
        <w:t>фудкортах</w:t>
      </w:r>
      <w:proofErr w:type="spellEnd"/>
      <w:r w:rsidRPr="000E3472">
        <w:rPr>
          <w:rFonts w:ascii="Arial" w:hAnsi="Arial" w:cs="Arial"/>
          <w:sz w:val="24"/>
          <w:szCs w:val="24"/>
        </w:rPr>
        <w:t xml:space="preserve"> (код ОКВЭД 2: 56) - на период по 18 июля 2021 года</w:t>
      </w:r>
      <w:proofErr w:type="gramStart"/>
      <w:r w:rsidRPr="000E3472">
        <w:rPr>
          <w:rFonts w:ascii="Arial" w:hAnsi="Arial" w:cs="Arial"/>
          <w:sz w:val="24"/>
          <w:szCs w:val="24"/>
        </w:rPr>
        <w:t>.";</w:t>
      </w:r>
      <w:proofErr w:type="gramEnd"/>
    </w:p>
    <w:p w:rsidR="000E3472" w:rsidRPr="00F80246" w:rsidRDefault="00F80246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>подпункт 5 изложить в следующей редакции:</w:t>
      </w:r>
    </w:p>
    <w:p w:rsid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"5.</w:t>
      </w:r>
      <w:r w:rsidR="00992B7C">
        <w:rPr>
          <w:rFonts w:ascii="Arial" w:hAnsi="Arial" w:cs="Arial"/>
          <w:sz w:val="24"/>
          <w:szCs w:val="24"/>
        </w:rPr>
        <w:t xml:space="preserve"> </w:t>
      </w:r>
      <w:r w:rsidRPr="00F80246">
        <w:rPr>
          <w:rFonts w:ascii="Arial" w:hAnsi="Arial" w:cs="Arial"/>
          <w:sz w:val="24"/>
          <w:szCs w:val="24"/>
        </w:rPr>
        <w:t>предоставление услуг музеев (код ОКВЭД 2: 91.02), услуг ботанических садов, зоопарков (код ОКВЭД 2: 91.04.1);";</w:t>
      </w:r>
    </w:p>
    <w:p w:rsidR="0023463E" w:rsidRPr="0023463E" w:rsidRDefault="00B6263A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пункт 5 дополнить новыми абзацами седьмым - </w:t>
      </w:r>
      <w:r w:rsidR="0023463E" w:rsidRPr="0023463E">
        <w:rPr>
          <w:rFonts w:ascii="Arial" w:hAnsi="Arial" w:cs="Arial"/>
          <w:sz w:val="24"/>
          <w:szCs w:val="24"/>
        </w:rPr>
        <w:t>восемнадцатым следующего содержания:</w:t>
      </w:r>
    </w:p>
    <w:p w:rsidR="00AB15CF" w:rsidRDefault="0023463E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463E">
        <w:rPr>
          <w:rFonts w:ascii="Arial" w:hAnsi="Arial" w:cs="Arial"/>
          <w:sz w:val="24"/>
          <w:szCs w:val="24"/>
        </w:rPr>
        <w:t xml:space="preserve"> </w:t>
      </w:r>
      <w:r w:rsidR="00B6263A" w:rsidRPr="00B6263A">
        <w:rPr>
          <w:rFonts w:ascii="Arial" w:hAnsi="Arial" w:cs="Arial"/>
          <w:sz w:val="24"/>
          <w:szCs w:val="24"/>
        </w:rPr>
        <w:t>«при условии соблюдения режима работы ресторана, кафе, столовой, буфета, бара, закусочной и иного предприятия общественного питания - с 6-00 часов до 2</w:t>
      </w:r>
      <w:r w:rsidR="00AB15CF">
        <w:rPr>
          <w:rFonts w:ascii="Arial" w:hAnsi="Arial" w:cs="Arial"/>
          <w:sz w:val="24"/>
          <w:szCs w:val="24"/>
        </w:rPr>
        <w:t>3-00 часов по местному времени.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>Требование абзаца седьмого настоящего пункта не распространяется на</w:t>
      </w:r>
      <w:r w:rsidR="00AB15CF">
        <w:rPr>
          <w:rFonts w:ascii="Arial" w:hAnsi="Arial" w:cs="Arial"/>
          <w:sz w:val="24"/>
          <w:szCs w:val="24"/>
        </w:rPr>
        <w:t xml:space="preserve"> объекты общественного питания: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расположенные на вокзалах, автовокзалах, в аэропортах, на остановочных пунктах движения железнодорожного транспорта, вдоль дорог федерального, регионального, межмуниципального значения, предназначенные для оказания услуг участникам дорожного движения по пути их следования по междугородним маршрутам, без проведения банкетов, </w:t>
      </w:r>
      <w:proofErr w:type="spellStart"/>
      <w:r w:rsidRPr="00B6263A">
        <w:rPr>
          <w:rFonts w:ascii="Arial" w:hAnsi="Arial" w:cs="Arial"/>
          <w:sz w:val="24"/>
          <w:szCs w:val="24"/>
        </w:rPr>
        <w:t>корпоративов</w:t>
      </w:r>
      <w:proofErr w:type="spellEnd"/>
      <w:r w:rsidRPr="00B6263A">
        <w:rPr>
          <w:rFonts w:ascii="Arial" w:hAnsi="Arial" w:cs="Arial"/>
          <w:sz w:val="24"/>
          <w:szCs w:val="24"/>
        </w:rPr>
        <w:t>, других торжественных мероприятий с 23-00 до 0</w:t>
      </w:r>
      <w:r w:rsidR="00AB15CF">
        <w:rPr>
          <w:rFonts w:ascii="Arial" w:hAnsi="Arial" w:cs="Arial"/>
          <w:sz w:val="24"/>
          <w:szCs w:val="24"/>
        </w:rPr>
        <w:t>6-00 часов по местному времени;</w:t>
      </w:r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работающие исключительно при обслуживании на вынос без посещения гражданами помещений таких хозяйствующих субъектов, а также при </w:t>
      </w:r>
      <w:r w:rsidR="00AB15CF">
        <w:rPr>
          <w:rFonts w:ascii="Arial" w:hAnsi="Arial" w:cs="Arial"/>
          <w:sz w:val="24"/>
          <w:szCs w:val="24"/>
        </w:rPr>
        <w:t>осуществлении доставки заказов;</w:t>
      </w:r>
    </w:p>
    <w:p w:rsidR="0023463E" w:rsidRDefault="00B6263A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263A">
        <w:rPr>
          <w:rFonts w:ascii="Arial" w:hAnsi="Arial" w:cs="Arial"/>
          <w:sz w:val="24"/>
          <w:szCs w:val="24"/>
        </w:rPr>
        <w:t xml:space="preserve">расположенные в местах временного размещения граждан при обслуживании исключительно граждан, проживающих в таких местах, без проведения банкетов, </w:t>
      </w:r>
      <w:proofErr w:type="spellStart"/>
      <w:r w:rsidRPr="00B6263A">
        <w:rPr>
          <w:rFonts w:ascii="Arial" w:hAnsi="Arial" w:cs="Arial"/>
          <w:sz w:val="24"/>
          <w:szCs w:val="24"/>
        </w:rPr>
        <w:t>корпоративов</w:t>
      </w:r>
      <w:proofErr w:type="spellEnd"/>
      <w:r w:rsidRPr="00B6263A">
        <w:rPr>
          <w:rFonts w:ascii="Arial" w:hAnsi="Arial" w:cs="Arial"/>
          <w:sz w:val="24"/>
          <w:szCs w:val="24"/>
        </w:rPr>
        <w:t>, других торжественных мероприятий с 23-00 до 06-</w:t>
      </w:r>
      <w:r w:rsidR="004D0C70">
        <w:rPr>
          <w:rFonts w:ascii="Arial" w:hAnsi="Arial" w:cs="Arial"/>
          <w:sz w:val="24"/>
          <w:szCs w:val="24"/>
        </w:rPr>
        <w:t>00 часов по местному времени</w:t>
      </w:r>
      <w:r w:rsidR="00AB15CF">
        <w:rPr>
          <w:rFonts w:ascii="Arial" w:hAnsi="Arial" w:cs="Arial"/>
          <w:sz w:val="24"/>
          <w:szCs w:val="24"/>
        </w:rPr>
        <w:t>»;</w:t>
      </w:r>
      <w:proofErr w:type="gramEnd"/>
    </w:p>
    <w:p w:rsidR="0023463E" w:rsidRPr="0023463E" w:rsidRDefault="0023463E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463E">
        <w:rPr>
          <w:rFonts w:ascii="Arial" w:hAnsi="Arial" w:cs="Arial"/>
          <w:sz w:val="24"/>
          <w:szCs w:val="24"/>
        </w:rPr>
        <w:t xml:space="preserve">"При осуществлении деятельности хозяйствующих субъектов, указанных в подпункте 1 пункта 2 настоящего Перечня, не допускается функционирование танцевальных площадок (танцевальных зон), дискотек, проведение банкетов, </w:t>
      </w:r>
      <w:proofErr w:type="spellStart"/>
      <w:r w:rsidRPr="0023463E">
        <w:rPr>
          <w:rFonts w:ascii="Arial" w:hAnsi="Arial" w:cs="Arial"/>
          <w:sz w:val="24"/>
          <w:szCs w:val="24"/>
        </w:rPr>
        <w:t>корпоративов</w:t>
      </w:r>
      <w:proofErr w:type="spellEnd"/>
      <w:r w:rsidRPr="0023463E">
        <w:rPr>
          <w:rFonts w:ascii="Arial" w:hAnsi="Arial" w:cs="Arial"/>
          <w:sz w:val="24"/>
          <w:szCs w:val="24"/>
        </w:rPr>
        <w:t>, других торжественных мероприятий</w:t>
      </w:r>
      <w:proofErr w:type="gramStart"/>
      <w:r w:rsidRPr="0023463E">
        <w:rPr>
          <w:rFonts w:ascii="Arial" w:hAnsi="Arial" w:cs="Arial"/>
          <w:sz w:val="24"/>
          <w:szCs w:val="24"/>
        </w:rPr>
        <w:t>.";</w:t>
      </w:r>
      <w:proofErr w:type="gramEnd"/>
    </w:p>
    <w:p w:rsidR="0023463E" w:rsidRPr="0023463E" w:rsidRDefault="0023463E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463E">
        <w:rPr>
          <w:rFonts w:ascii="Arial" w:hAnsi="Arial" w:cs="Arial"/>
          <w:sz w:val="24"/>
          <w:szCs w:val="24"/>
        </w:rPr>
        <w:t xml:space="preserve">Деятельность хозяйствующих субъектов, предоставляющих услуги общественного питания в </w:t>
      </w:r>
      <w:proofErr w:type="spellStart"/>
      <w:r w:rsidRPr="0023463E">
        <w:rPr>
          <w:rFonts w:ascii="Arial" w:hAnsi="Arial" w:cs="Arial"/>
          <w:sz w:val="24"/>
          <w:szCs w:val="24"/>
        </w:rPr>
        <w:t>фуд</w:t>
      </w:r>
      <w:proofErr w:type="spellEnd"/>
      <w:r w:rsidRPr="0023463E">
        <w:rPr>
          <w:rFonts w:ascii="Arial" w:hAnsi="Arial" w:cs="Arial"/>
          <w:sz w:val="24"/>
          <w:szCs w:val="24"/>
        </w:rPr>
        <w:t>-кортах, допускается при соблюдении следующих условий:</w:t>
      </w:r>
    </w:p>
    <w:p w:rsidR="0023463E" w:rsidRPr="0023463E" w:rsidRDefault="0023463E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463E">
        <w:rPr>
          <w:rFonts w:ascii="Arial" w:hAnsi="Arial" w:cs="Arial"/>
          <w:sz w:val="24"/>
          <w:szCs w:val="24"/>
        </w:rPr>
        <w:t>обеспечение выбора блюд и напитков бесконтактным способом (с помощью электронных меню);</w:t>
      </w:r>
    </w:p>
    <w:p w:rsidR="0023463E" w:rsidRPr="0023463E" w:rsidRDefault="0023463E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463E">
        <w:rPr>
          <w:rFonts w:ascii="Arial" w:hAnsi="Arial" w:cs="Arial"/>
          <w:sz w:val="24"/>
          <w:szCs w:val="24"/>
        </w:rPr>
        <w:t>исключение приема наличных денежных сре</w:t>
      </w:r>
      <w:proofErr w:type="gramStart"/>
      <w:r w:rsidRPr="0023463E">
        <w:rPr>
          <w:rFonts w:ascii="Arial" w:hAnsi="Arial" w:cs="Arial"/>
          <w:sz w:val="24"/>
          <w:szCs w:val="24"/>
        </w:rPr>
        <w:t>дств дл</w:t>
      </w:r>
      <w:proofErr w:type="gramEnd"/>
      <w:r w:rsidRPr="0023463E">
        <w:rPr>
          <w:rFonts w:ascii="Arial" w:hAnsi="Arial" w:cs="Arial"/>
          <w:sz w:val="24"/>
          <w:szCs w:val="24"/>
        </w:rPr>
        <w:t>я оплаты;</w:t>
      </w:r>
    </w:p>
    <w:p w:rsidR="0023463E" w:rsidRPr="0023463E" w:rsidRDefault="0023463E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463E">
        <w:rPr>
          <w:rFonts w:ascii="Arial" w:hAnsi="Arial" w:cs="Arial"/>
          <w:sz w:val="24"/>
          <w:szCs w:val="24"/>
        </w:rPr>
        <w:t>соблюдение расстояния между столами не менее 2 метров;</w:t>
      </w:r>
    </w:p>
    <w:p w:rsidR="0023463E" w:rsidRDefault="0023463E" w:rsidP="0023463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23463E">
        <w:rPr>
          <w:rFonts w:ascii="Arial" w:hAnsi="Arial" w:cs="Arial"/>
          <w:sz w:val="24"/>
          <w:szCs w:val="24"/>
        </w:rPr>
        <w:t>направление уведомления о начале работы в соответствии с указанными ограничениями на адрес электронной почты potreb@govirk.ru с последующим контролем соблюдения ограничений со стороны службы потребительского рынка и лицензирования Иркутской области</w:t>
      </w:r>
      <w:proofErr w:type="gramStart"/>
      <w:r w:rsidRPr="0023463E">
        <w:rPr>
          <w:rFonts w:ascii="Arial" w:hAnsi="Arial" w:cs="Arial"/>
          <w:sz w:val="24"/>
          <w:szCs w:val="24"/>
        </w:rPr>
        <w:t>.";</w:t>
      </w:r>
      <w:proofErr w:type="gramEnd"/>
    </w:p>
    <w:p w:rsidR="00AB15CF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>абзац седьмой</w:t>
      </w:r>
      <w:r w:rsidR="00AB15CF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7960D5" w:rsidRDefault="00B6263A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6263A">
        <w:rPr>
          <w:rFonts w:ascii="Arial" w:hAnsi="Arial" w:cs="Arial"/>
          <w:sz w:val="24"/>
          <w:szCs w:val="24"/>
        </w:rPr>
        <w:t xml:space="preserve">«При осуществлении деятельности хозяйствующих субъектов, указанных в подпункте 1 пункта 2 настоящего Перечня, не допускается функционирование танцевальных площадок (танцевальных зон), дискотек, проведение на период с 29 июня 2021 года по 26 июля 2021 года банкетов, </w:t>
      </w:r>
      <w:proofErr w:type="spellStart"/>
      <w:r w:rsidRPr="00B6263A">
        <w:rPr>
          <w:rFonts w:ascii="Arial" w:hAnsi="Arial" w:cs="Arial"/>
          <w:sz w:val="24"/>
          <w:szCs w:val="24"/>
        </w:rPr>
        <w:t>корпоративов</w:t>
      </w:r>
      <w:proofErr w:type="spellEnd"/>
      <w:r w:rsidRPr="00B6263A">
        <w:rPr>
          <w:rFonts w:ascii="Arial" w:hAnsi="Arial" w:cs="Arial"/>
          <w:sz w:val="24"/>
          <w:szCs w:val="24"/>
        </w:rPr>
        <w:t>, друг</w:t>
      </w:r>
      <w:r w:rsidR="004D0C70">
        <w:rPr>
          <w:rFonts w:ascii="Arial" w:hAnsi="Arial" w:cs="Arial"/>
          <w:sz w:val="24"/>
          <w:szCs w:val="24"/>
        </w:rPr>
        <w:t>их торжественных мероприятий</w:t>
      </w:r>
      <w:r w:rsidR="00AB15CF">
        <w:rPr>
          <w:rFonts w:ascii="Arial" w:hAnsi="Arial" w:cs="Arial"/>
          <w:sz w:val="24"/>
          <w:szCs w:val="24"/>
        </w:rPr>
        <w:t>»;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подпункт 3 пункта 6 изложить в следующей редакции:</w:t>
      </w:r>
    </w:p>
    <w:p w:rsidR="007960D5" w:rsidRPr="007960D5" w:rsidRDefault="00992B7C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"3.</w:t>
      </w:r>
      <w:r w:rsidR="007960D5" w:rsidRPr="007960D5">
        <w:rPr>
          <w:rFonts w:ascii="Arial" w:hAnsi="Arial" w:cs="Arial"/>
          <w:sz w:val="24"/>
          <w:szCs w:val="24"/>
        </w:rPr>
        <w:t xml:space="preserve"> наличие у потребителя услуг (за исключением лиц в возрасте не старше 18 лет) одного из документов, подтверждающих: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lastRenderedPageBreak/>
        <w:t xml:space="preserve">получение первого компонента вакцины против COVID-19 или полного курса вакцинации против COVID-19 (сертификат о прохождении вакцинации против COVID-19, полученный с использованием Единого портала государственных и муниципальных услуг (www.gosuslugi.ru), в электронном виде (на бумажном носителе) либо справка медицинской организации о прохождении вакцинации против COVID-19) (с 1 августа 2021 года </w:t>
      </w:r>
      <w:proofErr w:type="gramStart"/>
      <w:r w:rsidRPr="007960D5">
        <w:rPr>
          <w:rFonts w:ascii="Arial" w:hAnsi="Arial" w:cs="Arial"/>
          <w:sz w:val="24"/>
          <w:szCs w:val="24"/>
        </w:rPr>
        <w:t>-д</w:t>
      </w:r>
      <w:proofErr w:type="gramEnd"/>
      <w:r w:rsidRPr="007960D5">
        <w:rPr>
          <w:rFonts w:ascii="Arial" w:hAnsi="Arial" w:cs="Arial"/>
          <w:sz w:val="24"/>
          <w:szCs w:val="24"/>
        </w:rPr>
        <w:t>окументов, подтверждающих получение полного курса вакцинации против COVID-19);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отрицательный результат лабораторного исследования на COVID-19 методом полимеразной цепной реакции (ПЦР) в электронном виде (на бумажном носителе), выданный не ранее чем за 72 часа до вселения (размещения);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 xml:space="preserve">для лиц, перенесших заболевание COVID-19, справка (заключение) медицинской организации или результаты лабораторного исследования на наличие иммуноглобулина </w:t>
      </w:r>
      <w:proofErr w:type="spellStart"/>
      <w:r w:rsidRPr="007960D5">
        <w:rPr>
          <w:rFonts w:ascii="Arial" w:hAnsi="Arial" w:cs="Arial"/>
          <w:sz w:val="24"/>
          <w:szCs w:val="24"/>
        </w:rPr>
        <w:t>IgG</w:t>
      </w:r>
      <w:proofErr w:type="spellEnd"/>
      <w:r w:rsidRPr="007960D5">
        <w:rPr>
          <w:rFonts w:ascii="Arial" w:hAnsi="Arial" w:cs="Arial"/>
          <w:sz w:val="24"/>
          <w:szCs w:val="24"/>
        </w:rPr>
        <w:t xml:space="preserve"> к COVID-19 в диапазоне положительного индекса позитивности, который вычисляется в соответствии с инструкцией к тест-системе для иммуноферментного анализа (ИФА), полученные не ранее 6 месяцев до вселения (размещения)</w:t>
      </w:r>
      <w:proofErr w:type="gramStart"/>
      <w:r w:rsidRPr="007960D5">
        <w:rPr>
          <w:rFonts w:ascii="Arial" w:hAnsi="Arial" w:cs="Arial"/>
          <w:sz w:val="24"/>
          <w:szCs w:val="24"/>
        </w:rPr>
        <w:t>;"</w:t>
      </w:r>
      <w:proofErr w:type="gramEnd"/>
      <w:r w:rsidRPr="007960D5">
        <w:rPr>
          <w:rFonts w:ascii="Arial" w:hAnsi="Arial" w:cs="Arial"/>
          <w:sz w:val="24"/>
          <w:szCs w:val="24"/>
        </w:rPr>
        <w:t>;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подпункт 4 пункта 7 изложить в следующей редакции:</w:t>
      </w:r>
    </w:p>
    <w:p w:rsidR="007960D5" w:rsidRPr="007960D5" w:rsidRDefault="00992B7C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"4. </w:t>
      </w:r>
      <w:r w:rsidR="007960D5" w:rsidRPr="007960D5">
        <w:rPr>
          <w:rFonts w:ascii="Arial" w:hAnsi="Arial" w:cs="Arial"/>
          <w:sz w:val="24"/>
          <w:szCs w:val="24"/>
        </w:rPr>
        <w:t>наличие у потребителя услуг (за исключением лиц в возрасте не старше 18 лет) одного из документов, подтверждающих: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960D5">
        <w:rPr>
          <w:rFonts w:ascii="Arial" w:hAnsi="Arial" w:cs="Arial"/>
          <w:sz w:val="24"/>
          <w:szCs w:val="24"/>
        </w:rPr>
        <w:t>получение первого компонента вакцины против COVID-19 или полного курса вакцинации против COVID-19 (сертификат о прохождении вакцинации против COVID-19, полученный с использованием Единого портала государственных и муниципальных услуг (www.gosuslugi.ru), в электронном виде (на бумажном носителе) либо справка медицинской организации о прохождении вакцинации против COVID-19) (с 1 августа 2021 года - документов, подтверждающих получение полного курса вакцинации против COVID-19);</w:t>
      </w:r>
      <w:proofErr w:type="gramEnd"/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отрицательный результат лабораторного исследования на COVID-19 методом полимеразной цепной реакции (ПЦР) в электронном виде (на бумажном носителе), выданный не ранее чем за 72 часа до вселения (размещения);</w:t>
      </w:r>
    </w:p>
    <w:p w:rsid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 xml:space="preserve">для лиц, перенесших заболевание COVID-19, справка (заключение) медицинской организации или результаты лабораторного исследования на наличие иммуноглобулина </w:t>
      </w:r>
      <w:proofErr w:type="spellStart"/>
      <w:r w:rsidRPr="007960D5">
        <w:rPr>
          <w:rFonts w:ascii="Arial" w:hAnsi="Arial" w:cs="Arial"/>
          <w:sz w:val="24"/>
          <w:szCs w:val="24"/>
        </w:rPr>
        <w:t>IgG</w:t>
      </w:r>
      <w:proofErr w:type="spellEnd"/>
      <w:r w:rsidRPr="007960D5">
        <w:rPr>
          <w:rFonts w:ascii="Arial" w:hAnsi="Arial" w:cs="Arial"/>
          <w:sz w:val="24"/>
          <w:szCs w:val="24"/>
        </w:rPr>
        <w:t xml:space="preserve"> к COVID-19 в диапазоне положительного индекса позитивности, который вычисляется в соответствии с инструкцией к тест-системе для иммуноферментного анализа (ИФА), полученные не ранее 6 месяцев до вселения (размещения)</w:t>
      </w:r>
      <w:proofErr w:type="gramStart"/>
      <w:r w:rsidRPr="007960D5">
        <w:rPr>
          <w:rFonts w:ascii="Arial" w:hAnsi="Arial" w:cs="Arial"/>
          <w:sz w:val="24"/>
          <w:szCs w:val="24"/>
        </w:rPr>
        <w:t>;"</w:t>
      </w:r>
      <w:proofErr w:type="gramEnd"/>
      <w:r w:rsidRPr="007960D5">
        <w:rPr>
          <w:rFonts w:ascii="Arial" w:hAnsi="Arial" w:cs="Arial"/>
          <w:sz w:val="24"/>
          <w:szCs w:val="24"/>
        </w:rPr>
        <w:t>;</w:t>
      </w:r>
    </w:p>
    <w:p w:rsid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>подпункт 9 признать утратившим силу;</w:t>
      </w:r>
    </w:p>
    <w:p w:rsidR="000E3472" w:rsidRP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в пункте 11:</w:t>
      </w:r>
    </w:p>
    <w:p w:rsid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абзац первый признать утратившим силу;</w:t>
      </w:r>
    </w:p>
    <w:p w:rsid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абзац третий признать утратившим силу;</w:t>
      </w:r>
    </w:p>
    <w:p w:rsidR="00AB15CF" w:rsidRDefault="00AB15CF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12: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абзац второй изложить в следующей редакции: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 xml:space="preserve">"Допускается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мероприятий, в открытых и закрытых объектах спорта при условии отсутствия зрителей, </w:t>
      </w:r>
      <w:r w:rsidRPr="007960D5">
        <w:rPr>
          <w:rFonts w:ascii="Arial" w:hAnsi="Arial" w:cs="Arial"/>
          <w:sz w:val="24"/>
          <w:szCs w:val="24"/>
        </w:rPr>
        <w:lastRenderedPageBreak/>
        <w:t>спортивных мероприятий с количеством участников не более 50 человек на открытом воздухе без зрителей</w:t>
      </w:r>
      <w:proofErr w:type="gramStart"/>
      <w:r w:rsidRPr="007960D5">
        <w:rPr>
          <w:rFonts w:ascii="Arial" w:hAnsi="Arial" w:cs="Arial"/>
          <w:sz w:val="24"/>
          <w:szCs w:val="24"/>
        </w:rPr>
        <w:t>.";</w:t>
      </w:r>
      <w:proofErr w:type="gramEnd"/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абзац третий изложить в следующей редакции: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"Для допуска к занятию спортом потребитель услуг (за исключением лиц в возрасте не старше 18 лет) представляет один из документов, подтверждающих:</w:t>
      </w:r>
    </w:p>
    <w:p w:rsidR="007960D5" w:rsidRPr="007960D5" w:rsidRDefault="007960D5" w:rsidP="007960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 xml:space="preserve">получение первого компонента вакцины против COVID-19 или полного курса вакцинации против COVID-19 (сертификат о прохождении вакцинации против COVID-19, полученный с использованием Единого портала государственных и муниципальных услуг (www.gosuslugi.ru), в электронном виде (на бумажном носителе) либо справка медицинской организации о прохождении вакцинации против COVID-19) (с 1 августа 2021 года </w:t>
      </w:r>
      <w:proofErr w:type="gramStart"/>
      <w:r w:rsidRPr="007960D5">
        <w:rPr>
          <w:rFonts w:ascii="Arial" w:hAnsi="Arial" w:cs="Arial"/>
          <w:sz w:val="24"/>
          <w:szCs w:val="24"/>
        </w:rPr>
        <w:t>-д</w:t>
      </w:r>
      <w:proofErr w:type="gramEnd"/>
      <w:r w:rsidRPr="007960D5">
        <w:rPr>
          <w:rFonts w:ascii="Arial" w:hAnsi="Arial" w:cs="Arial"/>
          <w:sz w:val="24"/>
          <w:szCs w:val="24"/>
        </w:rPr>
        <w:t>окументов, подтверждающих получение полного курса вакцинации против COVID-19);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отрицательный результат лабораторного исследования на COVID-19 методом полимеразной цепной реакции (ПЦР) в электронном виде (на бумажном носителе), выданный не ранее чем за 72 часа до начала занятий спортом;</w:t>
      </w:r>
    </w:p>
    <w:p w:rsid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 xml:space="preserve">для лиц, перенесших заболевание COVID-19, справка (заключение) медицинской организации или результаты лабораторного исследования на наличие иммуноглобулина </w:t>
      </w:r>
      <w:proofErr w:type="spellStart"/>
      <w:r w:rsidRPr="007960D5">
        <w:rPr>
          <w:rFonts w:ascii="Arial" w:hAnsi="Arial" w:cs="Arial"/>
          <w:sz w:val="24"/>
          <w:szCs w:val="24"/>
        </w:rPr>
        <w:t>IgG</w:t>
      </w:r>
      <w:proofErr w:type="spellEnd"/>
      <w:r w:rsidRPr="007960D5">
        <w:rPr>
          <w:rFonts w:ascii="Arial" w:hAnsi="Arial" w:cs="Arial"/>
          <w:sz w:val="24"/>
          <w:szCs w:val="24"/>
        </w:rPr>
        <w:t xml:space="preserve"> к COVID-19 в диапазоне положительного индекса позитивности, который вычисляется в соответствии с инструкцией к тест-системе для иммуноферментного анализа (ИФА), полученные не ранее 6 месяцев до начала занятий спортом</w:t>
      </w:r>
      <w:proofErr w:type="gramStart"/>
      <w:r w:rsidRPr="007960D5">
        <w:rPr>
          <w:rFonts w:ascii="Arial" w:hAnsi="Arial" w:cs="Arial"/>
          <w:sz w:val="24"/>
          <w:szCs w:val="24"/>
        </w:rPr>
        <w:t>.";</w:t>
      </w:r>
      <w:proofErr w:type="gramEnd"/>
    </w:p>
    <w:p w:rsidR="000E3472" w:rsidRPr="000E3472" w:rsidRDefault="000E3472" w:rsidP="000E3472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E3472">
        <w:rPr>
          <w:rFonts w:ascii="Arial" w:hAnsi="Arial" w:cs="Arial"/>
          <w:sz w:val="24"/>
          <w:szCs w:val="24"/>
        </w:rPr>
        <w:t>абзац четвертый признать утратившим силу;</w:t>
      </w:r>
    </w:p>
    <w:p w:rsidR="006849FD" w:rsidRPr="006849FD" w:rsidRDefault="006849FD" w:rsidP="006849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49FD">
        <w:rPr>
          <w:rFonts w:ascii="Arial" w:hAnsi="Arial" w:cs="Arial"/>
          <w:sz w:val="24"/>
          <w:szCs w:val="24"/>
        </w:rPr>
        <w:t>пункт 14 изложить в следующей редакции:</w:t>
      </w:r>
    </w:p>
    <w:p w:rsidR="006849FD" w:rsidRPr="006849FD" w:rsidRDefault="006849FD" w:rsidP="006849FD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49FD">
        <w:rPr>
          <w:rFonts w:ascii="Arial" w:hAnsi="Arial" w:cs="Arial"/>
          <w:sz w:val="24"/>
          <w:szCs w:val="24"/>
        </w:rPr>
        <w:t>"14. Деятельность хозяйствующих субъектов, указанных в подпункте 8 пункта 2 настоящего Перечня, для предоставления услуг по демонстрации кинофильмов допускается при одновременном соблюдении следующих условий:</w:t>
      </w:r>
    </w:p>
    <w:p w:rsidR="006849FD" w:rsidRPr="006849FD" w:rsidRDefault="006849FD" w:rsidP="006849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49FD">
        <w:rPr>
          <w:rFonts w:ascii="Arial" w:hAnsi="Arial" w:cs="Arial"/>
          <w:sz w:val="24"/>
          <w:szCs w:val="24"/>
        </w:rPr>
        <w:t>1) соблюдение методических рекомендаций "МР 3.1/2.1.0189-20. 3.1. Профилактика инфекционных болезней. 2.1. Коммунальная гигиена. Рекомендации по проведению профилактических мероприятий по предупреждению распространения новой коронавирусной инфекции (COVID-19) в кинотеатрах. Методические рекомендации" (утверждены Главным государственным санитарным врачом Российской Федерации 27 мая 2020 года) и при условии заполнения кинозала посетителями не более 50% от установленной нормы;</w:t>
      </w:r>
    </w:p>
    <w:p w:rsidR="006849FD" w:rsidRPr="006849FD" w:rsidRDefault="006849FD" w:rsidP="00992B7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6849FD">
        <w:rPr>
          <w:rFonts w:ascii="Arial" w:hAnsi="Arial" w:cs="Arial"/>
          <w:sz w:val="24"/>
          <w:szCs w:val="24"/>
        </w:rPr>
        <w:t>2) наличие у потребителя услуг (за исключением лиц в возрасте не старше 18 лет) документов, подтверждающих получение полного курса вакцинации против COVID-19 (сертификат о прохождении вакцинации против COVID-19, полученный с использованием Единого портала государственных и муниципальных услуг (www.gosuslugi.ru), в электронном виде (на бумажном носителе) либо справка медицинской организации о прохождении вакцинации против COVID-19).";</w:t>
      </w:r>
      <w:proofErr w:type="gramEnd"/>
    </w:p>
    <w:p w:rsidR="006849FD" w:rsidRPr="006849FD" w:rsidRDefault="006849FD" w:rsidP="006849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49FD">
        <w:rPr>
          <w:rFonts w:ascii="Arial" w:hAnsi="Arial" w:cs="Arial"/>
          <w:sz w:val="24"/>
          <w:szCs w:val="24"/>
        </w:rPr>
        <w:t>пункт 14</w:t>
      </w:r>
      <w:r w:rsidRPr="006849FD">
        <w:rPr>
          <w:rFonts w:ascii="Arial" w:hAnsi="Arial" w:cs="Arial"/>
          <w:sz w:val="24"/>
          <w:szCs w:val="24"/>
          <w:vertAlign w:val="superscript"/>
        </w:rPr>
        <w:t>1</w:t>
      </w:r>
      <w:r w:rsidRPr="006849FD">
        <w:rPr>
          <w:rFonts w:ascii="Arial" w:hAnsi="Arial" w:cs="Arial"/>
          <w:sz w:val="24"/>
          <w:szCs w:val="24"/>
        </w:rPr>
        <w:t> признать утратившим силу;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подпункт 2 пункта 14 изложить в следующей редакции:</w:t>
      </w:r>
    </w:p>
    <w:p w:rsidR="007960D5" w:rsidRPr="007960D5" w:rsidRDefault="00992B7C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"2. </w:t>
      </w:r>
      <w:r w:rsidR="007960D5" w:rsidRPr="007960D5">
        <w:rPr>
          <w:rFonts w:ascii="Arial" w:hAnsi="Arial" w:cs="Arial"/>
          <w:sz w:val="24"/>
          <w:szCs w:val="24"/>
        </w:rPr>
        <w:t>наличие у потребителя услуг (за исключением лиц в возрасте не старше 18 лет) одного из документов, подтверждающих: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lastRenderedPageBreak/>
        <w:t xml:space="preserve">получение первого компонента вакцины против COVID-19 или полного курса вакцинации против COVID-19 (сертификат о прохождении вакцинации против COVID-19, полученный с использованием Единого портала государственных и муниципальных услуг (www.gosuslugi.ru), в электронном виде (на бумажном носителе) либо справка медицинской организации о прохождении вакцинации против COVID-19) (с 1 августа 2021 года </w:t>
      </w:r>
      <w:proofErr w:type="gramStart"/>
      <w:r w:rsidRPr="007960D5">
        <w:rPr>
          <w:rFonts w:ascii="Arial" w:hAnsi="Arial" w:cs="Arial"/>
          <w:sz w:val="24"/>
          <w:szCs w:val="24"/>
        </w:rPr>
        <w:t>-д</w:t>
      </w:r>
      <w:proofErr w:type="gramEnd"/>
      <w:r w:rsidRPr="007960D5">
        <w:rPr>
          <w:rFonts w:ascii="Arial" w:hAnsi="Arial" w:cs="Arial"/>
          <w:sz w:val="24"/>
          <w:szCs w:val="24"/>
        </w:rPr>
        <w:t>окументов, подтверждающих получение полного курса вакцинации против COVID-19);</w:t>
      </w:r>
    </w:p>
    <w:p w:rsidR="007960D5" w:rsidRPr="007960D5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>отрицательный результат лабораторного исследования на COVID-19 методом полимеразной цепной реакции (ПЦР) в электронном виде (на бумажном носителе), выданный не ранее чем за 72 часа до посещения кинотеатра (кинозала);</w:t>
      </w:r>
    </w:p>
    <w:p w:rsidR="000E3472" w:rsidRDefault="007960D5" w:rsidP="007960D5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960D5">
        <w:rPr>
          <w:rFonts w:ascii="Arial" w:hAnsi="Arial" w:cs="Arial"/>
          <w:sz w:val="24"/>
          <w:szCs w:val="24"/>
        </w:rPr>
        <w:t xml:space="preserve">для лиц, перенесших заболевание COVID-19, справка (заключение) медицинской организации или результаты лабораторного исследования на наличие иммуноглобулина </w:t>
      </w:r>
      <w:proofErr w:type="spellStart"/>
      <w:r w:rsidRPr="007960D5">
        <w:rPr>
          <w:rFonts w:ascii="Arial" w:hAnsi="Arial" w:cs="Arial"/>
          <w:sz w:val="24"/>
          <w:szCs w:val="24"/>
        </w:rPr>
        <w:t>IgG</w:t>
      </w:r>
      <w:proofErr w:type="spellEnd"/>
      <w:r w:rsidRPr="007960D5">
        <w:rPr>
          <w:rFonts w:ascii="Arial" w:hAnsi="Arial" w:cs="Arial"/>
          <w:sz w:val="24"/>
          <w:szCs w:val="24"/>
        </w:rPr>
        <w:t xml:space="preserve"> к COVID-19 в диапазоне положительного индекса позитивности, который вычисляется в соответствии с инструкцией к тест-системе для иммуноферментного анализа (ИФА), полученные не ранее 6 месяцев до посещения кинотеатра (кинозала)</w:t>
      </w:r>
      <w:proofErr w:type="gramStart"/>
      <w:r w:rsidRPr="007960D5">
        <w:rPr>
          <w:rFonts w:ascii="Arial" w:hAnsi="Arial" w:cs="Arial"/>
          <w:sz w:val="24"/>
          <w:szCs w:val="24"/>
        </w:rPr>
        <w:t>."</w:t>
      </w:r>
      <w:proofErr w:type="gramEnd"/>
      <w:r w:rsidRPr="007960D5">
        <w:rPr>
          <w:rFonts w:ascii="Arial" w:hAnsi="Arial" w:cs="Arial"/>
          <w:sz w:val="24"/>
          <w:szCs w:val="24"/>
        </w:rPr>
        <w:t>;</w:t>
      </w:r>
    </w:p>
    <w:p w:rsidR="00AB15CF" w:rsidRDefault="00F80246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6263A" w:rsidRPr="00B6263A">
        <w:rPr>
          <w:rFonts w:ascii="Arial" w:hAnsi="Arial" w:cs="Arial"/>
          <w:sz w:val="24"/>
          <w:szCs w:val="24"/>
        </w:rPr>
        <w:t xml:space="preserve">) абзац второй пункта 2 Рекомендаций по организации деятельности в условиях распространения новой коронавирусной инфекции COVID-19 для организаций, индивидуальных предпринимателей, утвержденных </w:t>
      </w:r>
      <w:r w:rsidR="004D0C70">
        <w:rPr>
          <w:rFonts w:ascii="Arial" w:hAnsi="Arial" w:cs="Arial"/>
          <w:sz w:val="24"/>
          <w:szCs w:val="24"/>
        </w:rPr>
        <w:t xml:space="preserve">постановлением, </w:t>
      </w:r>
      <w:r w:rsidR="00AB15CF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B6263A" w:rsidRDefault="00B6263A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B6263A">
        <w:rPr>
          <w:rFonts w:ascii="Arial" w:hAnsi="Arial" w:cs="Arial"/>
          <w:sz w:val="24"/>
          <w:szCs w:val="24"/>
        </w:rPr>
        <w:t xml:space="preserve">«обеспечить перевод не менее 30 процентов работников (исполнителей по гражданско-правовым договорам) на дистанционный режим работы, за исключением лиц, прошедших полный курс вакцинации против COVID-19, а также перенесших заболевание COVID-19 и имеющих результаты исследования на наличие иммуноглобулина </w:t>
      </w:r>
      <w:proofErr w:type="spellStart"/>
      <w:r w:rsidRPr="00B6263A">
        <w:rPr>
          <w:rFonts w:ascii="Arial" w:hAnsi="Arial" w:cs="Arial"/>
          <w:sz w:val="24"/>
          <w:szCs w:val="24"/>
        </w:rPr>
        <w:t>IgG</w:t>
      </w:r>
      <w:proofErr w:type="spellEnd"/>
      <w:r w:rsidRPr="00B6263A">
        <w:rPr>
          <w:rFonts w:ascii="Arial" w:hAnsi="Arial" w:cs="Arial"/>
          <w:sz w:val="24"/>
          <w:szCs w:val="24"/>
        </w:rPr>
        <w:t xml:space="preserve"> к COVID-19 в диапазоне положительного индекса позитивности, который вычисляется в соответствии с инструкцией к тест-системе для иммуноферментного анализа (ИФА);».</w:t>
      </w:r>
      <w:proofErr w:type="gramEnd"/>
    </w:p>
    <w:p w:rsidR="006849FD" w:rsidRPr="006849FD" w:rsidRDefault="006849FD" w:rsidP="006849FD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49FD">
        <w:rPr>
          <w:rFonts w:ascii="Arial" w:hAnsi="Arial" w:cs="Arial"/>
          <w:sz w:val="24"/>
          <w:szCs w:val="24"/>
        </w:rPr>
        <w:t>дополнить пунктом 11 следующего содержания:</w:t>
      </w:r>
    </w:p>
    <w:p w:rsidR="006849FD" w:rsidRDefault="006849FD" w:rsidP="00B6263A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6849FD">
        <w:rPr>
          <w:rFonts w:ascii="Arial" w:hAnsi="Arial" w:cs="Arial"/>
          <w:sz w:val="24"/>
          <w:szCs w:val="24"/>
        </w:rPr>
        <w:t xml:space="preserve">"11. Рекомендовать лицам, находящимся на территории </w:t>
      </w:r>
      <w:proofErr w:type="spellStart"/>
      <w:r w:rsidRPr="006849FD">
        <w:rPr>
          <w:rFonts w:ascii="Arial" w:hAnsi="Arial" w:cs="Arial"/>
          <w:sz w:val="24"/>
          <w:szCs w:val="24"/>
        </w:rPr>
        <w:t>Баяндевского</w:t>
      </w:r>
      <w:proofErr w:type="spellEnd"/>
      <w:r w:rsidRPr="006849FD">
        <w:rPr>
          <w:rFonts w:ascii="Arial" w:hAnsi="Arial" w:cs="Arial"/>
          <w:sz w:val="24"/>
          <w:szCs w:val="24"/>
        </w:rPr>
        <w:t xml:space="preserve"> района, воздержаться от посещения религиозных объектов до стабилизации эпидемиологической обстановки".</w:t>
      </w:r>
    </w:p>
    <w:p w:rsidR="00F80246" w:rsidRP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>2.Настоящее постановление подлежит официальному опубликованию на сайте администрации МО «Баяндаевский район».</w:t>
      </w:r>
    </w:p>
    <w:p w:rsidR="00F80246" w:rsidRP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>3.Постановление вступает в силу с момента подписания.</w:t>
      </w:r>
    </w:p>
    <w:p w:rsidR="00F80246" w:rsidRP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ab/>
      </w:r>
    </w:p>
    <w:p w:rsidR="00F80246" w:rsidRPr="00F80246" w:rsidRDefault="00F80246" w:rsidP="00F80246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F80246" w:rsidRPr="00F80246" w:rsidRDefault="00F80246" w:rsidP="00F8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>Мэр МО «Баяндаевский район»</w:t>
      </w:r>
    </w:p>
    <w:p w:rsidR="00F80246" w:rsidRPr="00F80246" w:rsidRDefault="00F80246" w:rsidP="00F80246">
      <w:pPr>
        <w:jc w:val="both"/>
        <w:rPr>
          <w:rFonts w:ascii="Arial" w:hAnsi="Arial" w:cs="Arial"/>
          <w:sz w:val="24"/>
          <w:szCs w:val="24"/>
        </w:rPr>
      </w:pPr>
      <w:r w:rsidRPr="00F80246">
        <w:rPr>
          <w:rFonts w:ascii="Arial" w:hAnsi="Arial" w:cs="Arial"/>
          <w:sz w:val="24"/>
          <w:szCs w:val="24"/>
        </w:rPr>
        <w:t xml:space="preserve">А.П. </w:t>
      </w:r>
      <w:proofErr w:type="spellStart"/>
      <w:r w:rsidRPr="00F80246">
        <w:rPr>
          <w:rFonts w:ascii="Arial" w:hAnsi="Arial" w:cs="Arial"/>
          <w:sz w:val="24"/>
          <w:szCs w:val="24"/>
        </w:rPr>
        <w:t>Табинаев</w:t>
      </w:r>
      <w:proofErr w:type="spellEnd"/>
    </w:p>
    <w:p w:rsidR="00F80246" w:rsidRPr="00F80246" w:rsidRDefault="00F80246" w:rsidP="006849FD">
      <w:pPr>
        <w:jc w:val="both"/>
        <w:rPr>
          <w:rFonts w:ascii="Arial" w:hAnsi="Arial" w:cs="Arial"/>
          <w:sz w:val="24"/>
          <w:szCs w:val="24"/>
        </w:rPr>
      </w:pPr>
    </w:p>
    <w:sectPr w:rsidR="00F80246" w:rsidRPr="00F8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84"/>
    <w:rsid w:val="000E3472"/>
    <w:rsid w:val="001D00F1"/>
    <w:rsid w:val="00214C46"/>
    <w:rsid w:val="0023463E"/>
    <w:rsid w:val="00380AB7"/>
    <w:rsid w:val="004D0C70"/>
    <w:rsid w:val="00523EF2"/>
    <w:rsid w:val="006849FD"/>
    <w:rsid w:val="006940AD"/>
    <w:rsid w:val="006A0F1C"/>
    <w:rsid w:val="00726D84"/>
    <w:rsid w:val="0078665C"/>
    <w:rsid w:val="007960D5"/>
    <w:rsid w:val="007B1FDC"/>
    <w:rsid w:val="00992B7C"/>
    <w:rsid w:val="009A7019"/>
    <w:rsid w:val="00A00894"/>
    <w:rsid w:val="00AB15CF"/>
    <w:rsid w:val="00B6263A"/>
    <w:rsid w:val="00B71793"/>
    <w:rsid w:val="00EA0D5D"/>
    <w:rsid w:val="00F42777"/>
    <w:rsid w:val="00F8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6D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2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D8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6D8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62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g.ru/2020/10/12/irkutsk-ukaz279-reg-dok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Ussr</dc:creator>
  <cp:lastModifiedBy>Ussr</cp:lastModifiedBy>
  <cp:revision>3</cp:revision>
  <cp:lastPrinted>2021-07-13T05:42:00Z</cp:lastPrinted>
  <dcterms:created xsi:type="dcterms:W3CDTF">2021-07-13T05:43:00Z</dcterms:created>
  <dcterms:modified xsi:type="dcterms:W3CDTF">2021-07-14T07:15:00Z</dcterms:modified>
</cp:coreProperties>
</file>